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720"/>
        <w:jc w:val="center"/>
      </w:pPr>
      <w:r>
        <w:rPr>
          <w:rFonts w:ascii="Malgun Gothic" w:hAnsi="Malgun Gothic" w:eastAsia="Malgun Gothic"/>
          <w:b/>
          <w:i w:val="0"/>
          <w:color w:val="C79A3B"/>
          <w:sz w:val="36"/>
        </w:rPr>
        <w:t>회 계 원 리</w:t>
      </w:r>
    </w:p>
    <w:p>
      <w:pPr>
        <w:spacing w:before="600" w:after="200"/>
        <w:jc w:val="center"/>
      </w:pPr>
      <w:r>
        <w:rPr>
          <w:rFonts w:ascii="Malgun Gothic" w:hAnsi="Malgun Gothic" w:eastAsia="Malgun Gothic"/>
          <w:b/>
          <w:i w:val="0"/>
          <w:color w:val="17365D"/>
          <w:sz w:val="50"/>
        </w:rPr>
        <w:t>비영리회계의 뜻과</w:t>
        <w:br/>
        <w:t>회계정보가 필요한 이용자</w:t>
      </w:r>
    </w:p>
    <w:p>
      <w:pPr>
        <w:spacing w:after="560"/>
        <w:jc w:val="center"/>
      </w:pPr>
      <w:r>
        <w:rPr>
          <w:rFonts w:ascii="Malgun Gothic" w:hAnsi="Malgun Gothic" w:eastAsia="Malgun Gothic"/>
          <w:b w:val="0"/>
          <w:i w:val="0"/>
          <w:color w:val="666666"/>
          <w:sz w:val="23"/>
        </w:rPr>
        <w:t>비영리조직의 사회적 책임과 회계정보 이용자를 중심으로</w:t>
      </w:r>
    </w:p>
    <w:tbl>
      <w:tblPr>
        <w:tblW w:type="auto" w:w="0"/>
        <w:jc w:val="center"/>
        <w:tblLayout w:type="fixed"/>
        <w:tblLook w:firstColumn="1" w:firstRow="1" w:lastColumn="0" w:lastRow="0" w:noHBand="0" w:noVBand="1" w:val="04A0"/>
      </w:tblPr>
      <w:tblGrid>
        <w:gridCol w:w="2016"/>
        <w:gridCol w:w="6624"/>
      </w:tblGrid>
      <w:tr>
        <w:tc>
          <w:tcPr>
            <w:tcW w:type="dxa" w:w="4896"/>
            <w:shd w:fill="17365D"/>
            <w:tcMar>
              <w:top w:w="120" w:type="dxa"/>
              <w:start w:w="130" w:type="dxa"/>
              <w:bottom w:w="120" w:type="dxa"/>
              <w:end w:w="130" w:type="dxa"/>
            </w:tcMar>
            <w:vAlign w:val="center"/>
          </w:tcPr>
          <w:p>
            <w:pPr>
              <w:jc w:val="center"/>
            </w:pPr>
            <w:r>
              <w:rPr>
                <w:rFonts w:ascii="Malgun Gothic" w:hAnsi="Malgun Gothic" w:eastAsia="Malgun Gothic"/>
                <w:b/>
                <w:i w:val="0"/>
                <w:color w:val="FFFFFF"/>
                <w:sz w:val="20"/>
              </w:rPr>
              <w:t>과목명</w:t>
            </w:r>
          </w:p>
        </w:tc>
        <w:tc>
          <w:tcPr>
            <w:tcW w:type="dxa" w:w="4896"/>
            <w:shd w:fill="FFFFFF"/>
            <w:tcMar>
              <w:top w:w="120" w:type="dxa"/>
              <w:start w:w="130" w:type="dxa"/>
              <w:bottom w:w="120" w:type="dxa"/>
              <w:end w:w="130" w:type="dxa"/>
            </w:tcMar>
            <w:vAlign w:val="center"/>
          </w:tcPr>
          <w:p>
            <w:pPr>
              <w:jc w:val="left"/>
            </w:pPr>
            <w:r>
              <w:rPr>
                <w:rFonts w:ascii="Malgun Gothic" w:hAnsi="Malgun Gothic" w:eastAsia="Malgun Gothic"/>
                <w:b w:val="0"/>
                <w:i w:val="0"/>
                <w:color w:val="222222"/>
                <w:sz w:val="21"/>
              </w:rPr>
              <w:t>회계원리</w:t>
            </w:r>
          </w:p>
        </w:tc>
      </w:tr>
      <w:tr>
        <w:tc>
          <w:tcPr>
            <w:tcW w:type="dxa" w:w="4896"/>
            <w:shd w:fill="17365D"/>
            <w:tcMar>
              <w:top w:w="120" w:type="dxa"/>
              <w:start w:w="130" w:type="dxa"/>
              <w:bottom w:w="120" w:type="dxa"/>
              <w:end w:w="130" w:type="dxa"/>
            </w:tcMar>
            <w:vAlign w:val="center"/>
          </w:tcPr>
          <w:p>
            <w:pPr>
              <w:jc w:val="center"/>
            </w:pPr>
            <w:r>
              <w:rPr>
                <w:rFonts w:ascii="Malgun Gothic" w:hAnsi="Malgun Gothic" w:eastAsia="Malgun Gothic"/>
                <w:b/>
                <w:i w:val="0"/>
                <w:color w:val="FFFFFF"/>
                <w:sz w:val="20"/>
              </w:rPr>
              <w:t>제출일</w:t>
            </w:r>
          </w:p>
        </w:tc>
        <w:tc>
          <w:tcPr>
            <w:tcW w:type="dxa" w:w="4896"/>
            <w:shd w:fill="FFFFFF"/>
            <w:tcMar>
              <w:top w:w="120" w:type="dxa"/>
              <w:start w:w="130" w:type="dxa"/>
              <w:bottom w:w="120" w:type="dxa"/>
              <w:end w:w="130" w:type="dxa"/>
            </w:tcMar>
            <w:vAlign w:val="center"/>
          </w:tcPr>
          <w:p>
            <w:pPr>
              <w:jc w:val="left"/>
            </w:pPr>
            <w:r>
              <w:rPr>
                <w:rFonts w:ascii="Malgun Gothic" w:hAnsi="Malgun Gothic" w:eastAsia="Malgun Gothic"/>
                <w:b w:val="0"/>
                <w:i w:val="0"/>
                <w:color w:val="222222"/>
                <w:sz w:val="21"/>
              </w:rPr>
              <w:t xml:space="preserve">                        </w:t>
            </w:r>
          </w:p>
        </w:tc>
      </w:tr>
      <w:tr>
        <w:tc>
          <w:tcPr>
            <w:tcW w:type="dxa" w:w="4896"/>
            <w:shd w:fill="17365D"/>
            <w:tcMar>
              <w:top w:w="120" w:type="dxa"/>
              <w:start w:w="130" w:type="dxa"/>
              <w:bottom w:w="120" w:type="dxa"/>
              <w:end w:w="130" w:type="dxa"/>
            </w:tcMar>
            <w:vAlign w:val="center"/>
          </w:tcPr>
          <w:p>
            <w:pPr>
              <w:jc w:val="center"/>
            </w:pPr>
            <w:r>
              <w:rPr>
                <w:rFonts w:ascii="Malgun Gothic" w:hAnsi="Malgun Gothic" w:eastAsia="Malgun Gothic"/>
                <w:b/>
                <w:i w:val="0"/>
                <w:color w:val="FFFFFF"/>
                <w:sz w:val="20"/>
              </w:rPr>
              <w:t>제출자</w:t>
            </w:r>
          </w:p>
        </w:tc>
        <w:tc>
          <w:tcPr>
            <w:tcW w:type="dxa" w:w="4896"/>
            <w:shd w:fill="FFFFFF"/>
            <w:tcMar>
              <w:top w:w="120" w:type="dxa"/>
              <w:start w:w="130" w:type="dxa"/>
              <w:bottom w:w="120" w:type="dxa"/>
              <w:end w:w="130" w:type="dxa"/>
            </w:tcMar>
            <w:vAlign w:val="center"/>
          </w:tcPr>
          <w:p>
            <w:pPr>
              <w:jc w:val="left"/>
            </w:pPr>
            <w:r>
              <w:rPr>
                <w:rFonts w:ascii="Malgun Gothic" w:hAnsi="Malgun Gothic" w:eastAsia="Malgun Gothic"/>
                <w:b w:val="0"/>
                <w:i w:val="0"/>
                <w:color w:val="222222"/>
                <w:sz w:val="21"/>
              </w:rPr>
              <w:t xml:space="preserve">                        </w:t>
            </w:r>
          </w:p>
        </w:tc>
      </w:tr>
    </w:tbl>
    <w:p>
      <w:pPr>
        <w:spacing w:before="480" w:after="140"/>
        <w:jc w:val="center"/>
      </w:pPr>
      <w:r>
        <w:rPr>
          <w:rFonts w:ascii="Malgun Gothic" w:hAnsi="Malgun Gothic" w:eastAsia="Malgun Gothic"/>
          <w:b/>
          <w:i w:val="0"/>
          <w:color w:val="17365D"/>
          <w:sz w:val="27"/>
        </w:rPr>
        <w:t>목  차</w:t>
      </w:r>
    </w:p>
    <w:tbl>
      <w:tblPr>
        <w:tblW w:type="auto" w:w="0"/>
        <w:jc w:val="center"/>
        <w:tblLayout w:type="fixed"/>
        <w:tblLook w:firstColumn="1" w:firstRow="1" w:lastColumn="0" w:lastRow="0" w:noHBand="0" w:noVBand="1" w:val="04A0"/>
      </w:tblPr>
      <w:tblGrid>
        <w:gridCol w:w="7920"/>
        <w:gridCol w:w="864"/>
      </w:tblGrid>
      <w:tr>
        <w:tc>
          <w:tcPr>
            <w:tcW w:type="dxa" w:w="4896"/>
            <w:shd w:fill="FFFFFF"/>
            <w:tcMar>
              <w:top w:w="70" w:type="dxa"/>
              <w:start w:w="110" w:type="dxa"/>
              <w:bottom w:w="70" w:type="dxa"/>
              <w:end w:w="110" w:type="dxa"/>
            </w:tcMar>
          </w:tcPr>
          <w:p>
            <w:pPr>
              <w:spacing w:after="0"/>
            </w:pPr>
            <w:r>
              <w:rPr>
                <w:rFonts w:ascii="Malgun Gothic" w:hAnsi="Malgun Gothic" w:eastAsia="Malgun Gothic"/>
                <w:b w:val="0"/>
                <w:i w:val="0"/>
                <w:color w:val="222222"/>
                <w:sz w:val="19"/>
              </w:rPr>
              <w:t>Ⅰ. 서론</w:t>
            </w:r>
          </w:p>
        </w:tc>
        <w:tc>
          <w:tcPr>
            <w:tcW w:type="dxa" w:w="4896"/>
            <w:shd w:fill="FFFFFF"/>
            <w:tcMar>
              <w:top w:w="70" w:type="dxa"/>
              <w:start w:w="110" w:type="dxa"/>
              <w:bottom w:w="70" w:type="dxa"/>
              <w:end w:w="110" w:type="dxa"/>
            </w:tcMar>
          </w:tcPr>
          <w:p>
            <w:pPr>
              <w:spacing w:after="0"/>
              <w:jc w:val="right"/>
            </w:pPr>
            <w:r>
              <w:rPr>
                <w:rFonts w:ascii="Malgun Gothic" w:hAnsi="Malgun Gothic" w:eastAsia="Malgun Gothic"/>
                <w:b/>
                <w:i w:val="0"/>
                <w:color w:val="2F5597"/>
                <w:sz w:val="19"/>
              </w:rPr>
              <w:t>2</w:t>
            </w:r>
          </w:p>
        </w:tc>
      </w:tr>
      <w:tr>
        <w:tc>
          <w:tcPr>
            <w:tcW w:type="dxa" w:w="4896"/>
            <w:shd w:fill="F2F4F7"/>
            <w:tcMar>
              <w:top w:w="70" w:type="dxa"/>
              <w:start w:w="110" w:type="dxa"/>
              <w:bottom w:w="70" w:type="dxa"/>
              <w:end w:w="110" w:type="dxa"/>
            </w:tcMar>
          </w:tcPr>
          <w:p>
            <w:pPr>
              <w:spacing w:after="0"/>
            </w:pPr>
            <w:r>
              <w:rPr>
                <w:rFonts w:ascii="Malgun Gothic" w:hAnsi="Malgun Gothic" w:eastAsia="Malgun Gothic"/>
                <w:b w:val="0"/>
                <w:i w:val="0"/>
                <w:color w:val="222222"/>
                <w:sz w:val="19"/>
              </w:rPr>
              <w:t>Ⅱ. 비영리회계의 뜻과 기본 성격</w:t>
            </w:r>
          </w:p>
        </w:tc>
        <w:tc>
          <w:tcPr>
            <w:tcW w:type="dxa" w:w="4896"/>
            <w:shd w:fill="F2F4F7"/>
            <w:tcMar>
              <w:top w:w="70" w:type="dxa"/>
              <w:start w:w="110" w:type="dxa"/>
              <w:bottom w:w="70" w:type="dxa"/>
              <w:end w:w="110" w:type="dxa"/>
            </w:tcMar>
          </w:tcPr>
          <w:p>
            <w:pPr>
              <w:spacing w:after="0"/>
              <w:jc w:val="right"/>
            </w:pPr>
            <w:r>
              <w:rPr>
                <w:rFonts w:ascii="Malgun Gothic" w:hAnsi="Malgun Gothic" w:eastAsia="Malgun Gothic"/>
                <w:b/>
                <w:i w:val="0"/>
                <w:color w:val="2F5597"/>
                <w:sz w:val="19"/>
              </w:rPr>
              <w:t>2</w:t>
            </w:r>
          </w:p>
        </w:tc>
      </w:tr>
      <w:tr>
        <w:tc>
          <w:tcPr>
            <w:tcW w:type="dxa" w:w="4896"/>
            <w:shd w:fill="FFFFFF"/>
            <w:tcMar>
              <w:top w:w="70" w:type="dxa"/>
              <w:start w:w="110" w:type="dxa"/>
              <w:bottom w:w="70" w:type="dxa"/>
              <w:end w:w="110" w:type="dxa"/>
            </w:tcMar>
          </w:tcPr>
          <w:p>
            <w:pPr>
              <w:spacing w:after="0"/>
            </w:pPr>
            <w:r>
              <w:rPr>
                <w:rFonts w:ascii="Malgun Gothic" w:hAnsi="Malgun Gothic" w:eastAsia="Malgun Gothic"/>
                <w:b w:val="0"/>
                <w:i w:val="0"/>
                <w:color w:val="222222"/>
                <w:sz w:val="19"/>
              </w:rPr>
              <w:t>Ⅲ. 비영리회계가 필요한 이유</w:t>
            </w:r>
          </w:p>
        </w:tc>
        <w:tc>
          <w:tcPr>
            <w:tcW w:type="dxa" w:w="4896"/>
            <w:shd w:fill="FFFFFF"/>
            <w:tcMar>
              <w:top w:w="70" w:type="dxa"/>
              <w:start w:w="110" w:type="dxa"/>
              <w:bottom w:w="70" w:type="dxa"/>
              <w:end w:w="110" w:type="dxa"/>
            </w:tcMar>
          </w:tcPr>
          <w:p>
            <w:pPr>
              <w:spacing w:after="0"/>
              <w:jc w:val="right"/>
            </w:pPr>
            <w:r>
              <w:rPr>
                <w:rFonts w:ascii="Malgun Gothic" w:hAnsi="Malgun Gothic" w:eastAsia="Malgun Gothic"/>
                <w:b/>
                <w:i w:val="0"/>
                <w:color w:val="2F5597"/>
                <w:sz w:val="19"/>
              </w:rPr>
              <w:t>3</w:t>
            </w:r>
          </w:p>
        </w:tc>
      </w:tr>
      <w:tr>
        <w:tc>
          <w:tcPr>
            <w:tcW w:type="dxa" w:w="4896"/>
            <w:shd w:fill="F2F4F7"/>
            <w:tcMar>
              <w:top w:w="70" w:type="dxa"/>
              <w:start w:w="110" w:type="dxa"/>
              <w:bottom w:w="70" w:type="dxa"/>
              <w:end w:w="110" w:type="dxa"/>
            </w:tcMar>
          </w:tcPr>
          <w:p>
            <w:pPr>
              <w:spacing w:after="0"/>
            </w:pPr>
            <w:r>
              <w:rPr>
                <w:rFonts w:ascii="Malgun Gothic" w:hAnsi="Malgun Gothic" w:eastAsia="Malgun Gothic"/>
                <w:b w:val="0"/>
                <w:i w:val="0"/>
                <w:color w:val="222222"/>
                <w:sz w:val="19"/>
              </w:rPr>
              <w:t>Ⅳ. 비영리회계정보가 필요한 사람과 기관</w:t>
            </w:r>
          </w:p>
        </w:tc>
        <w:tc>
          <w:tcPr>
            <w:tcW w:type="dxa" w:w="4896"/>
            <w:shd w:fill="F2F4F7"/>
            <w:tcMar>
              <w:top w:w="70" w:type="dxa"/>
              <w:start w:w="110" w:type="dxa"/>
              <w:bottom w:w="70" w:type="dxa"/>
              <w:end w:w="110" w:type="dxa"/>
            </w:tcMar>
          </w:tcPr>
          <w:p>
            <w:pPr>
              <w:spacing w:after="0"/>
              <w:jc w:val="right"/>
            </w:pPr>
            <w:r>
              <w:rPr>
                <w:rFonts w:ascii="Malgun Gothic" w:hAnsi="Malgun Gothic" w:eastAsia="Malgun Gothic"/>
                <w:b/>
                <w:i w:val="0"/>
                <w:color w:val="2F5597"/>
                <w:sz w:val="19"/>
              </w:rPr>
              <w:t>5</w:t>
            </w:r>
          </w:p>
        </w:tc>
      </w:tr>
      <w:tr>
        <w:tc>
          <w:tcPr>
            <w:tcW w:type="dxa" w:w="4896"/>
            <w:shd w:fill="FFFFFF"/>
            <w:tcMar>
              <w:top w:w="70" w:type="dxa"/>
              <w:start w:w="110" w:type="dxa"/>
              <w:bottom w:w="70" w:type="dxa"/>
              <w:end w:w="110" w:type="dxa"/>
            </w:tcMar>
          </w:tcPr>
          <w:p>
            <w:pPr>
              <w:spacing w:after="0"/>
            </w:pPr>
            <w:r>
              <w:rPr>
                <w:rFonts w:ascii="Malgun Gothic" w:hAnsi="Malgun Gothic" w:eastAsia="Malgun Gothic"/>
                <w:b w:val="0"/>
                <w:i w:val="0"/>
                <w:color w:val="222222"/>
                <w:sz w:val="19"/>
              </w:rPr>
              <w:t>Ⅴ. 영리회계와의 차이 및 적용 사례</w:t>
            </w:r>
          </w:p>
        </w:tc>
        <w:tc>
          <w:tcPr>
            <w:tcW w:type="dxa" w:w="4896"/>
            <w:shd w:fill="FFFFFF"/>
            <w:tcMar>
              <w:top w:w="70" w:type="dxa"/>
              <w:start w:w="110" w:type="dxa"/>
              <w:bottom w:w="70" w:type="dxa"/>
              <w:end w:w="110" w:type="dxa"/>
            </w:tcMar>
          </w:tcPr>
          <w:p>
            <w:pPr>
              <w:spacing w:after="0"/>
              <w:jc w:val="right"/>
            </w:pPr>
            <w:r>
              <w:rPr>
                <w:rFonts w:ascii="Malgun Gothic" w:hAnsi="Malgun Gothic" w:eastAsia="Malgun Gothic"/>
                <w:b/>
                <w:i w:val="0"/>
                <w:color w:val="2F5597"/>
                <w:sz w:val="19"/>
              </w:rPr>
              <w:t>6</w:t>
            </w:r>
          </w:p>
        </w:tc>
      </w:tr>
      <w:tr>
        <w:tc>
          <w:tcPr>
            <w:tcW w:type="dxa" w:w="4896"/>
            <w:shd w:fill="F2F4F7"/>
            <w:tcMar>
              <w:top w:w="70" w:type="dxa"/>
              <w:start w:w="110" w:type="dxa"/>
              <w:bottom w:w="70" w:type="dxa"/>
              <w:end w:w="110" w:type="dxa"/>
            </w:tcMar>
          </w:tcPr>
          <w:p>
            <w:pPr>
              <w:spacing w:after="0"/>
            </w:pPr>
            <w:r>
              <w:rPr>
                <w:rFonts w:ascii="Malgun Gothic" w:hAnsi="Malgun Gothic" w:eastAsia="Malgun Gothic"/>
                <w:b w:val="0"/>
                <w:i w:val="0"/>
                <w:color w:val="222222"/>
                <w:sz w:val="19"/>
              </w:rPr>
              <w:t>Ⅵ. 결론</w:t>
            </w:r>
          </w:p>
        </w:tc>
        <w:tc>
          <w:tcPr>
            <w:tcW w:type="dxa" w:w="4896"/>
            <w:shd w:fill="F2F4F7"/>
            <w:tcMar>
              <w:top w:w="70" w:type="dxa"/>
              <w:start w:w="110" w:type="dxa"/>
              <w:bottom w:w="70" w:type="dxa"/>
              <w:end w:w="110" w:type="dxa"/>
            </w:tcMar>
          </w:tcPr>
          <w:p>
            <w:pPr>
              <w:spacing w:after="0"/>
              <w:jc w:val="right"/>
            </w:pPr>
            <w:r>
              <w:rPr>
                <w:rFonts w:ascii="Malgun Gothic" w:hAnsi="Malgun Gothic" w:eastAsia="Malgun Gothic"/>
                <w:b/>
                <w:i w:val="0"/>
                <w:color w:val="2F5597"/>
                <w:sz w:val="19"/>
              </w:rPr>
              <w:t>7</w:t>
            </w:r>
          </w:p>
        </w:tc>
      </w:tr>
      <w:tr>
        <w:tc>
          <w:tcPr>
            <w:tcW w:type="dxa" w:w="4896"/>
            <w:shd w:fill="FFFFFF"/>
            <w:tcMar>
              <w:top w:w="70" w:type="dxa"/>
              <w:start w:w="110" w:type="dxa"/>
              <w:bottom w:w="70" w:type="dxa"/>
              <w:end w:w="110" w:type="dxa"/>
            </w:tcMar>
          </w:tcPr>
          <w:p>
            <w:pPr>
              <w:spacing w:after="0"/>
            </w:pPr>
            <w:r>
              <w:rPr>
                <w:rFonts w:ascii="Malgun Gothic" w:hAnsi="Malgun Gothic" w:eastAsia="Malgun Gothic"/>
                <w:b w:val="0"/>
                <w:i w:val="0"/>
                <w:color w:val="222222"/>
                <w:sz w:val="19"/>
              </w:rPr>
              <w:t>참고문헌 및 주의사항</w:t>
            </w:r>
          </w:p>
        </w:tc>
        <w:tc>
          <w:tcPr>
            <w:tcW w:type="dxa" w:w="4896"/>
            <w:shd w:fill="FFFFFF"/>
            <w:tcMar>
              <w:top w:w="70" w:type="dxa"/>
              <w:start w:w="110" w:type="dxa"/>
              <w:bottom w:w="70" w:type="dxa"/>
              <w:end w:w="110" w:type="dxa"/>
            </w:tcMar>
          </w:tcPr>
          <w:p>
            <w:pPr>
              <w:spacing w:after="0"/>
              <w:jc w:val="right"/>
            </w:pPr>
            <w:r>
              <w:rPr>
                <w:rFonts w:ascii="Malgun Gothic" w:hAnsi="Malgun Gothic" w:eastAsia="Malgun Gothic"/>
                <w:b/>
                <w:i w:val="0"/>
                <w:color w:val="2F5597"/>
                <w:sz w:val="19"/>
              </w:rPr>
              <w:t>8-9</w:t>
            </w:r>
          </w:p>
        </w:tc>
      </w:tr>
    </w:tbl>
    <w:p>
      <w:pPr>
        <w:spacing w:before="360"/>
        <w:jc w:val="center"/>
      </w:pPr>
      <w:r>
        <w:rPr>
          <w:rFonts w:ascii="Malgun Gothic" w:hAnsi="Malgun Gothic" w:eastAsia="Malgun Gothic"/>
          <w:b w:val="0"/>
          <w:i/>
          <w:color w:val="777777"/>
          <w:sz w:val="19"/>
        </w:rPr>
        <w:t>학점은행제 과제 참고용 샘플</w:t>
      </w:r>
    </w:p>
    <w:p>
      <w:r>
        <w:br w:type="page"/>
      </w:r>
    </w:p>
    <w:p>
      <w:pPr>
        <w:keepNext/>
        <w:spacing w:before="200" w:after="120"/>
        <w:pBdr>
          <w:bottom w:val="single" w:sz="12" w:space="4" w:color="C79A3B"/>
        </w:pBdr>
      </w:pPr>
      <w:r>
        <w:rPr>
          <w:rFonts w:ascii="Malgun Gothic" w:hAnsi="Malgun Gothic" w:eastAsia="Malgun Gothic"/>
          <w:b/>
          <w:i w:val="0"/>
          <w:color w:val="17365D"/>
          <w:sz w:val="30"/>
        </w:rPr>
        <w:t>Ⅰ. 서론</w:t>
      </w:r>
    </w:p>
    <w:p>
      <w:pPr>
        <w:spacing w:before="0" w:after="120" w:line="396" w:lineRule="auto"/>
        <w:ind w:firstLine="210"/>
        <w:jc w:val="both"/>
      </w:pPr>
      <w:r>
        <w:rPr>
          <w:rFonts w:ascii="Malgun Gothic" w:hAnsi="Malgun Gothic" w:eastAsia="Malgun Gothic"/>
          <w:b w:val="0"/>
          <w:i w:val="0"/>
          <w:color w:val="222222"/>
          <w:sz w:val="21"/>
        </w:rPr>
        <w:t>회계는 조직에서 발생한 경제적 사건을 일정한 기준에 따라 기록·분류·요약하여 이해관계자에게 유용한 정보를 제공하는 체계이다. 일반적으로 회계라고 하면 제품을 판매하거나 서비스를 제공하여 이윤을 얻는 기업의 회계를 먼저 떠올리기 쉽다. 그러나 사회에는 기업 외에도 학교, 병원, 사회복지기관, 종교단체, 장학재단, 문화예술단체, 협회, 시민단체 등 이익의 배당보다 공익적 목적의 달성을 우선하는 조직이 다수 존재한다. 이러한 조직도 기부금, 회비, 보조금, 수익사업 수입, 인건비와 사업비 등 다양한 경제적 거래를 수행하므로 체계적인 회계가 필요하다.</w:t>
      </w:r>
    </w:p>
    <w:p>
      <w:pPr>
        <w:spacing w:before="0" w:after="120" w:line="396" w:lineRule="auto"/>
        <w:ind w:firstLine="210"/>
        <w:jc w:val="both"/>
      </w:pPr>
      <w:r>
        <w:rPr>
          <w:rFonts w:ascii="Malgun Gothic" w:hAnsi="Malgun Gothic" w:eastAsia="Malgun Gothic"/>
          <w:b w:val="0"/>
          <w:i w:val="0"/>
          <w:color w:val="222222"/>
          <w:sz w:val="21"/>
        </w:rPr>
        <w:t>비영리조직은 소유주에게 이익을 배당하기 위해 존재하지 않는다는 점에서 영리기업과 목적이 다르다. 따라서 비영리조직의 성과를 단순히 당기순이익의 크기로 평가하기 어렵다. 오히려 조직이 약속한 공익적 사업을 실제로 수행했는지, 기부금과 정부보조금을 지정된 목적에 맞게 사용했는지, 자산을 안전하게 관리했는지, 향후에도 지속적으로 서비스를 제공할 수 있는지를 보여주는 것이 중요하다. 비영리회계는 바로 이러한 질문에 답하기 위한 회계정보 체계이다.</w:t>
      </w:r>
    </w:p>
    <w:p>
      <w:pPr>
        <w:spacing w:before="0" w:after="120" w:line="396" w:lineRule="auto"/>
        <w:ind w:firstLine="210"/>
        <w:jc w:val="both"/>
      </w:pPr>
      <w:r>
        <w:rPr>
          <w:rFonts w:ascii="Malgun Gothic" w:hAnsi="Malgun Gothic" w:eastAsia="Malgun Gothic"/>
          <w:b w:val="0"/>
          <w:i w:val="0"/>
          <w:color w:val="222222"/>
          <w:sz w:val="21"/>
        </w:rPr>
        <w:t>본 과제에서는 비영리회계의 뜻과 기본 성격을 정리하고, 비영리회계가 필요한 이유를 설명한다. 또한 비영리회계정보를 필요로 하는 내부·외부 이용자를 구분하여 각각 어떤 의사결정을 위해 정보를 사용하는지 살펴본다. 마지막으로 영리회계와 비영리회계의 차이 및 실제 적용 사례를 통해 비영리회계가 사회적 신뢰를 형성하는 데 어떠한 역할을 수행하는지 논의하고자 한다.</w:t>
      </w:r>
    </w:p>
    <w:p>
      <w:pPr>
        <w:keepNext/>
        <w:spacing w:before="200" w:after="120"/>
        <w:pBdr>
          <w:bottom w:val="single" w:sz="12" w:space="4" w:color="C79A3B"/>
        </w:pBdr>
      </w:pPr>
      <w:r>
        <w:rPr>
          <w:rFonts w:ascii="Malgun Gothic" w:hAnsi="Malgun Gothic" w:eastAsia="Malgun Gothic"/>
          <w:b/>
          <w:i w:val="0"/>
          <w:color w:val="17365D"/>
          <w:sz w:val="30"/>
        </w:rPr>
        <w:t>Ⅱ. 비영리회계의 뜻과 기본 성격</w:t>
      </w:r>
    </w:p>
    <w:p>
      <w:pPr>
        <w:keepNext/>
        <w:spacing w:before="140" w:after="80"/>
      </w:pPr>
      <w:r>
        <w:rPr>
          <w:rFonts w:ascii="Malgun Gothic" w:hAnsi="Malgun Gothic" w:eastAsia="Malgun Gothic"/>
          <w:b/>
          <w:i w:val="0"/>
          <w:color w:val="2F5597"/>
          <w:sz w:val="24"/>
        </w:rPr>
        <w:t>1) 비영리회계의 개념</w:t>
      </w:r>
    </w:p>
    <w:p>
      <w:pPr>
        <w:spacing w:before="0" w:after="120" w:line="396" w:lineRule="auto"/>
        <w:ind w:firstLine="210"/>
        <w:jc w:val="both"/>
      </w:pPr>
      <w:r>
        <w:rPr>
          <w:rFonts w:ascii="Malgun Gothic" w:hAnsi="Malgun Gothic" w:eastAsia="Malgun Gothic"/>
          <w:b w:val="0"/>
          <w:i w:val="0"/>
          <w:color w:val="222222"/>
          <w:sz w:val="21"/>
        </w:rPr>
        <w:t>비영리회계란 영리를 목적으로 하지 않는 조직이 보유한 자원과 부채, 수입과 지출, 순자산의 변동을 기록하고 보고하는 회계를 의미한다. 여기서 비영리조직은 구성원이나 출자자에게 이익을 분배하는 것을 주된 목적으로 하지 않고, 교육·복지·의료·종교·문화·학술·환경보호 등 사회적 목적을 달성하기 위해 설립된 조직을 말한다. 비영리조직이 사업 과정에서 수입을 얻는다고 해서 곧바로 영리조직이 되는 것은 아니다. 중요한 판단 기준은 발생한 잉여가 소유주에게 배당되는지, 아니면 정관에 정해진 공익목적사업에 다시 사용되는지에 있다.</w:t>
      </w:r>
    </w:p>
    <w:tbl>
      <w:tblPr>
        <w:tblW w:type="auto" w:w="0"/>
        <w:jc w:val="center"/>
        <w:tblLayout w:type="fixed"/>
        <w:tblLook w:firstColumn="1" w:firstRow="1" w:lastColumn="0" w:lastRow="0" w:noHBand="0" w:noVBand="1" w:val="04A0"/>
      </w:tblPr>
      <w:tblGrid>
        <w:gridCol w:w="9792"/>
      </w:tblGrid>
      <w:tr>
        <w:tc>
          <w:tcPr>
            <w:tcW w:type="dxa" w:w="9792"/>
            <w:shd w:fill="F8F1E3"/>
            <w:tcMar>
              <w:top w:w="160" w:type="dxa"/>
              <w:start w:w="180" w:type="dxa"/>
              <w:bottom w:w="160" w:type="dxa"/>
              <w:end w:w="180" w:type="dxa"/>
            </w:tcMar>
            <w:tcBorders>
              <w:top w:val="single" w:sz="8" w:color="C79A3B"/>
              <w:left w:val="single" w:sz="8" w:color="C79A3B"/>
              <w:bottom w:val="single" w:sz="8" w:color="C79A3B"/>
              <w:right w:val="single" w:sz="8" w:color="C79A3B"/>
            </w:tcBorders>
          </w:tcPr>
          <w:p>
            <w:pPr>
              <w:spacing w:after="60"/>
            </w:pPr>
            <w:r>
              <w:rPr>
                <w:rFonts w:ascii="Malgun Gothic" w:hAnsi="Malgun Gothic" w:eastAsia="Malgun Gothic"/>
                <w:b/>
                <w:i w:val="0"/>
                <w:color w:val="C79A3B"/>
                <w:sz w:val="21"/>
              </w:rPr>
              <w:t>핵심 정의</w:t>
            </w:r>
          </w:p>
          <w:p>
            <w:pPr>
              <w:spacing w:after="0" w:line="348" w:lineRule="auto"/>
            </w:pPr>
            <w:r>
              <w:rPr>
                <w:rFonts w:ascii="Malgun Gothic" w:hAnsi="Malgun Gothic" w:eastAsia="Malgun Gothic"/>
                <w:b w:val="0"/>
                <w:i w:val="0"/>
                <w:color w:val="222222"/>
                <w:sz w:val="20"/>
              </w:rPr>
              <w:t>비영리회계는 “얼마의 이익을 얻었는가”보다 “맡겨진 자원을 어떤 목적에 사용했고, 그 결과 어떤 공익적 성과를 달성했는가”를 설명하는 책임 중심의 회계이다.</w:t>
            </w:r>
          </w:p>
        </w:tc>
      </w:tr>
    </w:tbl>
    <w:p>
      <w:pPr>
        <w:spacing w:after="20"/>
      </w:pPr>
    </w:p>
    <w:p>
      <w:pPr>
        <w:keepNext/>
        <w:spacing w:before="140" w:after="80"/>
      </w:pPr>
      <w:r>
        <w:rPr>
          <w:rFonts w:ascii="Malgun Gothic" w:hAnsi="Malgun Gothic" w:eastAsia="Malgun Gothic"/>
          <w:b/>
          <w:i w:val="0"/>
          <w:color w:val="2F5597"/>
          <w:sz w:val="24"/>
        </w:rPr>
        <w:t>2) 비영리회계의 주요 목적</w:t>
      </w:r>
    </w:p>
    <w:p>
      <w:pPr>
        <w:spacing w:before="0" w:after="120" w:line="396" w:lineRule="auto"/>
        <w:ind w:firstLine="210"/>
        <w:jc w:val="both"/>
      </w:pPr>
      <w:r>
        <w:rPr>
          <w:rFonts w:ascii="Malgun Gothic" w:hAnsi="Malgun Gothic" w:eastAsia="Malgun Gothic"/>
          <w:b w:val="0"/>
          <w:i w:val="0"/>
          <w:color w:val="222222"/>
          <w:sz w:val="21"/>
        </w:rPr>
        <w:t>비영리회계의 첫 번째 목적은 재정적 책임성을 입증하는 것이다. 기부자나 정부기관으로부터 받은 재원은 조직의 소유물이 아니라 특정한 사회적 목적을 위해 맡겨진 자원이라는 성격이 강하다. 그러므로 조직은 수입의 출처와 지출의 용도, 잔액과 미사용 금액을 명확하게 기록하여 자원이 적절하게 사용되었음을 보여주어야 한다.</w:t>
      </w:r>
    </w:p>
    <w:p>
      <w:pPr>
        <w:spacing w:before="0" w:after="120" w:line="396" w:lineRule="auto"/>
        <w:ind w:firstLine="210"/>
        <w:jc w:val="both"/>
      </w:pPr>
      <w:r>
        <w:rPr>
          <w:rFonts w:ascii="Malgun Gothic" w:hAnsi="Malgun Gothic" w:eastAsia="Malgun Gothic"/>
          <w:b w:val="0"/>
          <w:i w:val="0"/>
          <w:color w:val="222222"/>
          <w:sz w:val="21"/>
        </w:rPr>
        <w:t>두 번째 목적은 의사결정에 필요한 정보를 제공하는 것이다. 이사회와 경영자는 사업별 예산을 편성하고 비용 구조를 점검하며, 기부자는 후원 지속 여부를 판단하고, 정부기관은 보조금 정산과 법령 준수 여부를 확인한다. 세 번째 목적은 조직의 지속가능성을 평가하게 하는 것이다. 반복적으로 적자가 발생하거나 특정 보조금에 지나치게 의존하는 조직은 장기적으로 서비스 제공이 불안정해질 수 있다. 비영리회계는 이러한 위험을 조기에 파악하도록 돕는다.</w:t>
      </w:r>
    </w:p>
    <w:p>
      <w:pPr>
        <w:keepNext/>
        <w:spacing w:before="200" w:after="120"/>
        <w:pBdr>
          <w:bottom w:val="single" w:sz="12" w:space="4" w:color="C79A3B"/>
        </w:pBdr>
      </w:pPr>
      <w:r>
        <w:rPr>
          <w:rFonts w:ascii="Malgun Gothic" w:hAnsi="Malgun Gothic" w:eastAsia="Malgun Gothic"/>
          <w:b/>
          <w:i w:val="0"/>
          <w:color w:val="17365D"/>
          <w:sz w:val="30"/>
        </w:rPr>
        <w:t>Ⅲ. 비영리회계가 필요한 이유</w:t>
      </w:r>
    </w:p>
    <w:p>
      <w:pPr>
        <w:keepNext/>
        <w:spacing w:before="140" w:after="80"/>
      </w:pPr>
      <w:r>
        <w:rPr>
          <w:rFonts w:ascii="Malgun Gothic" w:hAnsi="Malgun Gothic" w:eastAsia="Malgun Gothic"/>
          <w:b/>
          <w:i w:val="0"/>
          <w:color w:val="2F5597"/>
          <w:sz w:val="24"/>
        </w:rPr>
        <w:t>1) 수탁책임과 목적 적합성의 확인</w:t>
      </w:r>
    </w:p>
    <w:p>
      <w:pPr>
        <w:spacing w:before="0" w:after="120" w:line="396" w:lineRule="auto"/>
        <w:ind w:firstLine="210"/>
        <w:jc w:val="both"/>
      </w:pPr>
      <w:r>
        <w:rPr>
          <w:rFonts w:ascii="Malgun Gothic" w:hAnsi="Malgun Gothic" w:eastAsia="Malgun Gothic"/>
          <w:b w:val="0"/>
          <w:i w:val="0"/>
          <w:color w:val="222222"/>
          <w:sz w:val="21"/>
        </w:rPr>
        <w:t>비영리조직은 사회로부터 자원을 위탁받아 공익적 서비스를 제공한다. 예를 들어 장학재단은 기부금으로 장학금을 지급하고, 사회복지법인은 보조금과 후원금으로 취약계층을 지원하며, 시민단체는 회비와 기부금으로 공익 캠페인을 운영한다. 이때 자금을 제공한 사람은 직접 서비스를 생산하지 않기 때문에 회계보고를 통해 자원의 사용 결과를 확인한다. 이를 회계에서 수탁책임이라고 한다. 비영리회계는 조직이 자원을 임의로 사용하지 않고 약속된 목적과 예산에 따라 집행했음을 입증하는 수단이다.</w:t>
      </w:r>
    </w:p>
    <w:p>
      <w:pPr>
        <w:spacing w:before="0" w:after="120" w:line="396" w:lineRule="auto"/>
        <w:ind w:firstLine="210"/>
        <w:jc w:val="both"/>
      </w:pPr>
      <w:r>
        <w:rPr>
          <w:rFonts w:ascii="Malgun Gothic" w:hAnsi="Malgun Gothic" w:eastAsia="Malgun Gothic"/>
          <w:b w:val="0"/>
          <w:i w:val="0"/>
          <w:color w:val="222222"/>
          <w:sz w:val="21"/>
        </w:rPr>
        <w:t>특히 비영리조직은 사용 목적이 제한된 자금을 받는 경우가 많다. 장학금으로 지정된 후원금을 사무실 인테리어 비용으로 사용하거나, 특정 복지사업에 배정된 보조금을 다른 사업의 적자를 보전하는 데 사용하는 것은 목적 적합성을 훼손한다. 따라서 비영리회계에서는 제한된 재원과 제한이 없는 재원을 구분하고, 사업별 수입·지출을 분리하여 관리할 필요가 있다. 이러한 구분은 단순한 장부 편의가 아니라 자금을 제공한 사람과의 약속을 지키기 위한 장치이다.</w:t>
      </w:r>
    </w:p>
    <w:p>
      <w:pPr>
        <w:keepNext/>
        <w:spacing w:before="140" w:after="80"/>
      </w:pPr>
      <w:r>
        <w:rPr>
          <w:rFonts w:ascii="Malgun Gothic" w:hAnsi="Malgun Gothic" w:eastAsia="Malgun Gothic"/>
          <w:b/>
          <w:i w:val="0"/>
          <w:color w:val="2F5597"/>
          <w:sz w:val="24"/>
        </w:rPr>
        <w:t>2) 투명성 확보와 신뢰 형성</w:t>
      </w:r>
    </w:p>
    <w:p>
      <w:pPr>
        <w:spacing w:before="0" w:after="120" w:line="396" w:lineRule="auto"/>
        <w:ind w:firstLine="210"/>
        <w:jc w:val="both"/>
      </w:pPr>
      <w:r>
        <w:rPr>
          <w:rFonts w:ascii="Malgun Gothic" w:hAnsi="Malgun Gothic" w:eastAsia="Malgun Gothic"/>
          <w:b w:val="0"/>
          <w:i w:val="0"/>
          <w:color w:val="222222"/>
          <w:sz w:val="21"/>
        </w:rPr>
        <w:t>비영리조직의 활동은 기부와 자원봉사, 정부지원, 사회적 신뢰에 크게 의존한다. 회계정보가 불명확하거나 사업비의 사용 내역이 공개되지 않으면 기부자는 후원을 중단할 수 있고, 정부기관은 보조금 지원을 축소할 수 있으며, 서비스 이용자도 조직의 공정성에 의문을 제기할 수 있다. 반대로 재무상태와 사업별 비용, 후원금 사용 내역을 이해하기 쉽게 공개하는 조직은 책임 있는 기관이라는 평가를 받을 가능성이 높다.</w:t>
      </w:r>
    </w:p>
    <w:p>
      <w:pPr>
        <w:spacing w:before="0" w:after="120" w:line="396" w:lineRule="auto"/>
        <w:ind w:firstLine="210"/>
        <w:jc w:val="both"/>
      </w:pPr>
      <w:r>
        <w:rPr>
          <w:rFonts w:ascii="Malgun Gothic" w:hAnsi="Malgun Gothic" w:eastAsia="Malgun Gothic"/>
          <w:b w:val="0"/>
          <w:i w:val="0"/>
          <w:color w:val="222222"/>
          <w:sz w:val="21"/>
        </w:rPr>
        <w:t>한국회계기준원이 제정한 비영리조직회계기준은 비영리조직이 사회적 보고책임을 충실히 수행하고 회계의 투명성을 높이기 위한 기준으로 제시되었다. 또한 공익법인에 대해서는 기획재정부의 공익법인회계기준이 적용되며, 재무상태표와 운영성과표 및 주석 등을 통해 재정상태와 사업운영 결과를 보고하도록 한다. 이러한 기준은 비영리조직의 회계정보를 일정한 형식으로 작성하게 하여 조직 간 비교와 외부 검증을 가능하게 한다.</w:t>
      </w:r>
    </w:p>
    <w:p>
      <w:pPr>
        <w:keepNext/>
        <w:spacing w:before="140" w:after="80"/>
      </w:pPr>
      <w:r>
        <w:rPr>
          <w:rFonts w:ascii="Malgun Gothic" w:hAnsi="Malgun Gothic" w:eastAsia="Malgun Gothic"/>
          <w:b/>
          <w:i w:val="0"/>
          <w:color w:val="2F5597"/>
          <w:sz w:val="24"/>
        </w:rPr>
        <w:t>3) 예산관리와 내부통제</w:t>
      </w:r>
    </w:p>
    <w:p>
      <w:pPr>
        <w:spacing w:before="0" w:after="120" w:line="396" w:lineRule="auto"/>
        <w:ind w:firstLine="210"/>
        <w:jc w:val="both"/>
      </w:pPr>
      <w:r>
        <w:rPr>
          <w:rFonts w:ascii="Malgun Gothic" w:hAnsi="Malgun Gothic" w:eastAsia="Malgun Gothic"/>
          <w:b w:val="0"/>
          <w:i w:val="0"/>
          <w:color w:val="222222"/>
          <w:sz w:val="21"/>
        </w:rPr>
        <w:t>비영리회계는 외부보고뿐 아니라 내부관리에도 필요하다. 예산과 실제 지출을 정기적으로 비교하면 계획보다 비용이 많이 발생한 사업이나 집행이 지연된 사업을 확인할 수 있다. 또한 수입·지출 승인 절차, 증빙서류 보관, 업무 분장, 계좌 관리, 재고와 자산 실사 등의 내부통제는 횡령이나 착오를 예방한다. 소규모 비영리단체는 인력이 부족하여 한 사람이 모금, 지출, 장부기록을 모두 담당하는 경우가 있는데, 이러한 구조에서는 최소한 승인권자와 집행자를 분리하고 정기적으로 이사회나 감사가 장부를 검토하도록 해야 한다.</w:t>
      </w:r>
    </w:p>
    <w:p>
      <w:pPr>
        <w:keepNext/>
        <w:spacing w:before="140" w:after="80"/>
      </w:pPr>
      <w:r>
        <w:rPr>
          <w:rFonts w:ascii="Malgun Gothic" w:hAnsi="Malgun Gothic" w:eastAsia="Malgun Gothic"/>
          <w:b/>
          <w:i w:val="0"/>
          <w:color w:val="2F5597"/>
          <w:sz w:val="24"/>
        </w:rPr>
        <w:t>4) 법적 의무와 외부감사 대응</w:t>
      </w:r>
    </w:p>
    <w:p>
      <w:pPr>
        <w:spacing w:before="0" w:after="120" w:line="396" w:lineRule="auto"/>
        <w:ind w:firstLine="210"/>
        <w:jc w:val="both"/>
      </w:pPr>
      <w:r>
        <w:rPr>
          <w:rFonts w:ascii="Malgun Gothic" w:hAnsi="Malgun Gothic" w:eastAsia="Malgun Gothic"/>
          <w:b w:val="0"/>
          <w:i w:val="0"/>
          <w:color w:val="222222"/>
          <w:sz w:val="21"/>
        </w:rPr>
        <w:t>비영리조직은 설립 근거와 활동 분야에 따라 서로 다른 회계규정을 적용받을 수 있다. 공익법인, 사회복지법인, 학교법인, 의료법인, 종교단체, 비영리민간단체 등은 관련 법령과 감독기관의 지침에 따라 결산서류를 작성하고 공시하거나 보조금 정산보고서를 제출해야 한다. 일정 규모 이상의 공익법인은 외부회계감사나 세무확인 대상이 될 수 있으며, 회계장부와 증빙이 불충분하면 보조금 환수, 세제상 불이익, 행정제재, 사회적 평판 하락 등의 문제가 발생할 수 있다.</w:t>
      </w:r>
    </w:p>
    <w:tbl>
      <w:tblPr>
        <w:tblW w:type="auto" w:w="0"/>
        <w:jc w:val="center"/>
        <w:tblLayout w:type="fixed"/>
        <w:tblLook w:firstColumn="1" w:firstRow="1" w:lastColumn="0" w:lastRow="0" w:noHBand="0" w:noVBand="1" w:val="04A0"/>
      </w:tblPr>
      <w:tblGrid>
        <w:gridCol w:w="9792"/>
      </w:tblGrid>
      <w:tr>
        <w:tc>
          <w:tcPr>
            <w:tcW w:type="dxa" w:w="9792"/>
            <w:shd w:fill="EAF5EF"/>
            <w:tcMar>
              <w:top w:w="160" w:type="dxa"/>
              <w:start w:w="180" w:type="dxa"/>
              <w:bottom w:w="160" w:type="dxa"/>
              <w:end w:w="180" w:type="dxa"/>
            </w:tcMar>
            <w:tcBorders>
              <w:top w:val="single" w:sz="8" w:color="2F6B4F"/>
              <w:left w:val="single" w:sz="8" w:color="2F6B4F"/>
              <w:bottom w:val="single" w:sz="8" w:color="2F6B4F"/>
              <w:right w:val="single" w:sz="8" w:color="2F6B4F"/>
            </w:tcBorders>
          </w:tcPr>
          <w:p>
            <w:pPr>
              <w:spacing w:after="60"/>
            </w:pPr>
            <w:r>
              <w:rPr>
                <w:rFonts w:ascii="Malgun Gothic" w:hAnsi="Malgun Gothic" w:eastAsia="Malgun Gothic"/>
                <w:b/>
                <w:i w:val="0"/>
                <w:color w:val="2F6B4F"/>
                <w:sz w:val="21"/>
              </w:rPr>
              <w:t>비영리회계가 필요한 네 가지 이유</w:t>
            </w:r>
          </w:p>
          <w:p>
            <w:pPr>
              <w:spacing w:after="0" w:line="348" w:lineRule="auto"/>
            </w:pPr>
            <w:r>
              <w:rPr>
                <w:rFonts w:ascii="Malgun Gothic" w:hAnsi="Malgun Gothic" w:eastAsia="Malgun Gothic"/>
                <w:b w:val="0"/>
                <w:i w:val="0"/>
                <w:color w:val="222222"/>
                <w:sz w:val="20"/>
              </w:rPr>
              <w:t>① 맡겨진 자원의 사용 책임을 설명한다. ② 기부자와 시민의 신뢰를 확보한다. ③ 예산관리와 내부통제를 강화한다. ④ 법령 준수와 외부감사·보조금 정산에 대응한다.</w:t>
            </w:r>
          </w:p>
        </w:tc>
      </w:tr>
    </w:tbl>
    <w:p>
      <w:pPr>
        <w:spacing w:after="20"/>
      </w:pPr>
    </w:p>
    <w:p>
      <w:pPr>
        <w:keepNext/>
        <w:spacing w:before="200" w:after="120"/>
        <w:pBdr>
          <w:bottom w:val="single" w:sz="12" w:space="4" w:color="C79A3B"/>
        </w:pBdr>
      </w:pPr>
      <w:r>
        <w:rPr>
          <w:rFonts w:ascii="Malgun Gothic" w:hAnsi="Malgun Gothic" w:eastAsia="Malgun Gothic"/>
          <w:b/>
          <w:i w:val="0"/>
          <w:color w:val="17365D"/>
          <w:sz w:val="30"/>
        </w:rPr>
        <w:t>Ⅳ. 비영리회계정보가 필요한 사람과 기관</w:t>
      </w:r>
    </w:p>
    <w:p>
      <w:pPr>
        <w:spacing w:before="0" w:after="120" w:line="396" w:lineRule="auto"/>
        <w:ind w:firstLine="210"/>
        <w:jc w:val="both"/>
      </w:pPr>
      <w:r>
        <w:rPr>
          <w:rFonts w:ascii="Malgun Gothic" w:hAnsi="Malgun Gothic" w:eastAsia="Malgun Gothic"/>
          <w:b w:val="0"/>
          <w:i w:val="0"/>
          <w:color w:val="222222"/>
          <w:sz w:val="21"/>
        </w:rPr>
        <w:t>비영리회계정보의 이용자는 조직 내부의 운영주체와 조직 외부의 이해관계자로 나눌 수 있다. 이용자마다 관심 있는 정보와 의사결정 목적이 다르므로, 비영리조직은 단순히 결산 숫자를 나열하기보다 사업별 활동과 재정정보가 연결되도록 설명해야 한다.</w:t>
      </w:r>
    </w:p>
    <w:tbl>
      <w:tblPr>
        <w:tblStyle w:val="TableGrid"/>
        <w:tblW w:type="auto" w:w="0"/>
        <w:jc w:val="center"/>
        <w:tblLayout w:type="fixed"/>
        <w:tblLook w:firstColumn="1" w:firstRow="1" w:lastColumn="0" w:lastRow="0" w:noHBand="0" w:noVBand="1" w:val="04A0"/>
      </w:tblPr>
      <w:tblGrid>
        <w:gridCol w:w="1987"/>
        <w:gridCol w:w="3384"/>
        <w:gridCol w:w="4392"/>
      </w:tblGrid>
      <w:tr>
        <w:trPr>
          <w:tblHeader w:val="true"/>
        </w:trPr>
        <w:tc>
          <w:tcPr>
            <w:tcW w:type="dxa" w:w="3264"/>
            <w:shd w:fill="17365D"/>
            <w:tcMar>
              <w:top w:w="90" w:type="dxa"/>
              <w:start w:w="90" w:type="dxa"/>
              <w:bottom w:w="90" w:type="dxa"/>
              <w:end w:w="90" w:type="dxa"/>
            </w:tcMar>
          </w:tcPr>
          <w:p>
            <w:pPr>
              <w:jc w:val="center"/>
            </w:pPr>
            <w:r>
              <w:rPr>
                <w:rFonts w:ascii="Malgun Gothic" w:hAnsi="Malgun Gothic" w:eastAsia="Malgun Gothic"/>
                <w:b/>
                <w:i w:val="0"/>
                <w:color w:val="FFFFFF"/>
                <w:sz w:val="18"/>
              </w:rPr>
              <w:t>정보이용자</w:t>
            </w:r>
          </w:p>
        </w:tc>
        <w:tc>
          <w:tcPr>
            <w:tcW w:type="dxa" w:w="3264"/>
            <w:shd w:fill="17365D"/>
            <w:tcMar>
              <w:top w:w="90" w:type="dxa"/>
              <w:start w:w="90" w:type="dxa"/>
              <w:bottom w:w="90" w:type="dxa"/>
              <w:end w:w="90" w:type="dxa"/>
            </w:tcMar>
          </w:tcPr>
          <w:p>
            <w:pPr>
              <w:jc w:val="center"/>
            </w:pPr>
            <w:r>
              <w:rPr>
                <w:rFonts w:ascii="Malgun Gothic" w:hAnsi="Malgun Gothic" w:eastAsia="Malgun Gothic"/>
                <w:b/>
                <w:i w:val="0"/>
                <w:color w:val="FFFFFF"/>
                <w:sz w:val="18"/>
              </w:rPr>
              <w:t>주요 의사결정</w:t>
            </w:r>
          </w:p>
        </w:tc>
        <w:tc>
          <w:tcPr>
            <w:tcW w:type="dxa" w:w="3264"/>
            <w:shd w:fill="17365D"/>
            <w:tcMar>
              <w:top w:w="90" w:type="dxa"/>
              <w:start w:w="90" w:type="dxa"/>
              <w:bottom w:w="90" w:type="dxa"/>
              <w:end w:w="90" w:type="dxa"/>
            </w:tcMar>
          </w:tcPr>
          <w:p>
            <w:pPr>
              <w:jc w:val="center"/>
            </w:pPr>
            <w:r>
              <w:rPr>
                <w:rFonts w:ascii="Malgun Gothic" w:hAnsi="Malgun Gothic" w:eastAsia="Malgun Gothic"/>
                <w:b/>
                <w:i w:val="0"/>
                <w:color w:val="FFFFFF"/>
                <w:sz w:val="18"/>
              </w:rPr>
              <w:t>필요한 회계정보</w:t>
            </w:r>
          </w:p>
        </w:tc>
      </w:tr>
      <w:tr>
        <w:tc>
          <w:tcPr>
            <w:tcW w:type="dxa" w:w="1987"/>
            <w:shd w:fill="FFFFFF"/>
            <w:tcMar>
              <w:top w:w="75" w:type="dxa"/>
              <w:start w:w="85" w:type="dxa"/>
              <w:bottom w:w="75" w:type="dxa"/>
              <w:end w:w="85" w:type="dxa"/>
            </w:tcMar>
            <w:vAlign w:val="center"/>
          </w:tcPr>
          <w:p>
            <w:pPr>
              <w:spacing w:after="0" w:line="293" w:lineRule="auto"/>
              <w:jc w:val="center"/>
            </w:pPr>
            <w:r>
              <w:rPr>
                <w:rFonts w:ascii="Malgun Gothic" w:hAnsi="Malgun Gothic" w:eastAsia="Malgun Gothic"/>
                <w:b/>
                <w:i w:val="0"/>
                <w:color w:val="17365D"/>
                <w:sz w:val="17"/>
              </w:rPr>
              <w:t>이사회·경영자</w:t>
            </w:r>
          </w:p>
        </w:tc>
        <w:tc>
          <w:tcPr>
            <w:tcW w:type="dxa" w:w="3384"/>
            <w:shd w:fill="FFFFFF"/>
            <w:tcMar>
              <w:top w:w="75" w:type="dxa"/>
              <w:start w:w="85" w:type="dxa"/>
              <w:bottom w:w="75" w:type="dxa"/>
              <w:end w:w="85" w:type="dxa"/>
            </w:tcMar>
            <w:vAlign w:val="center"/>
          </w:tcPr>
          <w:p>
            <w:pPr>
              <w:spacing w:after="0" w:line="293" w:lineRule="auto"/>
            </w:pPr>
            <w:r>
              <w:rPr>
                <w:rFonts w:ascii="Malgun Gothic" w:hAnsi="Malgun Gothic" w:eastAsia="Malgun Gothic"/>
                <w:b w:val="0"/>
                <w:i w:val="0"/>
                <w:color w:val="222222"/>
                <w:sz w:val="17"/>
              </w:rPr>
              <w:t>예산 편성, 사업 우선순위 결정, 재정위험 관리</w:t>
            </w:r>
          </w:p>
        </w:tc>
        <w:tc>
          <w:tcPr>
            <w:tcW w:type="dxa" w:w="4392"/>
            <w:shd w:fill="FFFFFF"/>
            <w:tcMar>
              <w:top w:w="75" w:type="dxa"/>
              <w:start w:w="85" w:type="dxa"/>
              <w:bottom w:w="75" w:type="dxa"/>
              <w:end w:w="85" w:type="dxa"/>
            </w:tcMar>
            <w:vAlign w:val="center"/>
          </w:tcPr>
          <w:p>
            <w:pPr>
              <w:spacing w:after="0" w:line="293" w:lineRule="auto"/>
            </w:pPr>
            <w:r>
              <w:rPr>
                <w:rFonts w:ascii="Malgun Gothic" w:hAnsi="Malgun Gothic" w:eastAsia="Malgun Gothic"/>
                <w:b w:val="0"/>
                <w:i w:val="0"/>
                <w:color w:val="222222"/>
                <w:sz w:val="17"/>
              </w:rPr>
              <w:t>사업별 수입·비용, 예산 대비 실적, 현금 및 부채, 순자산</w:t>
            </w:r>
          </w:p>
        </w:tc>
      </w:tr>
      <w:tr>
        <w:tc>
          <w:tcPr>
            <w:tcW w:type="dxa" w:w="1987"/>
            <w:shd w:fill="EAF1F8"/>
            <w:tcMar>
              <w:top w:w="75" w:type="dxa"/>
              <w:start w:w="85" w:type="dxa"/>
              <w:bottom w:w="75" w:type="dxa"/>
              <w:end w:w="85" w:type="dxa"/>
            </w:tcMar>
            <w:vAlign w:val="center"/>
          </w:tcPr>
          <w:p>
            <w:pPr>
              <w:spacing w:after="0" w:line="293" w:lineRule="auto"/>
              <w:jc w:val="center"/>
            </w:pPr>
            <w:r>
              <w:rPr>
                <w:rFonts w:ascii="Malgun Gothic" w:hAnsi="Malgun Gothic" w:eastAsia="Malgun Gothic"/>
                <w:b/>
                <w:i w:val="0"/>
                <w:color w:val="17365D"/>
                <w:sz w:val="17"/>
              </w:rPr>
              <w:t>회계담당자·감사</w:t>
            </w:r>
          </w:p>
        </w:tc>
        <w:tc>
          <w:tcPr>
            <w:tcW w:type="dxa" w:w="3384"/>
            <w:shd w:fill="EAF1F8"/>
            <w:tcMar>
              <w:top w:w="75" w:type="dxa"/>
              <w:start w:w="85" w:type="dxa"/>
              <w:bottom w:w="75" w:type="dxa"/>
              <w:end w:w="85" w:type="dxa"/>
            </w:tcMar>
            <w:vAlign w:val="center"/>
          </w:tcPr>
          <w:p>
            <w:pPr>
              <w:spacing w:after="0" w:line="293" w:lineRule="auto"/>
            </w:pPr>
            <w:r>
              <w:rPr>
                <w:rFonts w:ascii="Malgun Gothic" w:hAnsi="Malgun Gothic" w:eastAsia="Malgun Gothic"/>
                <w:b w:val="0"/>
                <w:i w:val="0"/>
                <w:color w:val="222222"/>
                <w:sz w:val="17"/>
              </w:rPr>
              <w:t>거래 기록, 내부통제, 오류와 부정 예방</w:t>
            </w:r>
          </w:p>
        </w:tc>
        <w:tc>
          <w:tcPr>
            <w:tcW w:type="dxa" w:w="4392"/>
            <w:shd w:fill="EAF1F8"/>
            <w:tcMar>
              <w:top w:w="75" w:type="dxa"/>
              <w:start w:w="85" w:type="dxa"/>
              <w:bottom w:w="75" w:type="dxa"/>
              <w:end w:w="85" w:type="dxa"/>
            </w:tcMar>
            <w:vAlign w:val="center"/>
          </w:tcPr>
          <w:p>
            <w:pPr>
              <w:spacing w:after="0" w:line="293" w:lineRule="auto"/>
            </w:pPr>
            <w:r>
              <w:rPr>
                <w:rFonts w:ascii="Malgun Gothic" w:hAnsi="Malgun Gothic" w:eastAsia="Malgun Gothic"/>
                <w:b w:val="0"/>
                <w:i w:val="0"/>
                <w:color w:val="222222"/>
                <w:sz w:val="17"/>
              </w:rPr>
              <w:t>증빙, 계정별 원장, 자금집행 절차, 제한자금 잔액</w:t>
            </w:r>
          </w:p>
        </w:tc>
      </w:tr>
      <w:tr>
        <w:tc>
          <w:tcPr>
            <w:tcW w:type="dxa" w:w="1987"/>
            <w:shd w:fill="FFFFFF"/>
            <w:tcMar>
              <w:top w:w="75" w:type="dxa"/>
              <w:start w:w="85" w:type="dxa"/>
              <w:bottom w:w="75" w:type="dxa"/>
              <w:end w:w="85" w:type="dxa"/>
            </w:tcMar>
            <w:vAlign w:val="center"/>
          </w:tcPr>
          <w:p>
            <w:pPr>
              <w:spacing w:after="0" w:line="293" w:lineRule="auto"/>
              <w:jc w:val="center"/>
            </w:pPr>
            <w:r>
              <w:rPr>
                <w:rFonts w:ascii="Malgun Gothic" w:hAnsi="Malgun Gothic" w:eastAsia="Malgun Gothic"/>
                <w:b/>
                <w:i w:val="0"/>
                <w:color w:val="17365D"/>
                <w:sz w:val="17"/>
              </w:rPr>
              <w:t>기부자·후원자·회원</w:t>
            </w:r>
          </w:p>
        </w:tc>
        <w:tc>
          <w:tcPr>
            <w:tcW w:type="dxa" w:w="3384"/>
            <w:shd w:fill="FFFFFF"/>
            <w:tcMar>
              <w:top w:w="75" w:type="dxa"/>
              <w:start w:w="85" w:type="dxa"/>
              <w:bottom w:w="75" w:type="dxa"/>
              <w:end w:w="85" w:type="dxa"/>
            </w:tcMar>
            <w:vAlign w:val="center"/>
          </w:tcPr>
          <w:p>
            <w:pPr>
              <w:spacing w:after="0" w:line="293" w:lineRule="auto"/>
            </w:pPr>
            <w:r>
              <w:rPr>
                <w:rFonts w:ascii="Malgun Gothic" w:hAnsi="Malgun Gothic" w:eastAsia="Malgun Gothic"/>
                <w:b w:val="0"/>
                <w:i w:val="0"/>
                <w:color w:val="222222"/>
                <w:sz w:val="17"/>
              </w:rPr>
              <w:t>후원 지속·확대 여부 판단, 기부금 사용 확인</w:t>
            </w:r>
          </w:p>
        </w:tc>
        <w:tc>
          <w:tcPr>
            <w:tcW w:type="dxa" w:w="4392"/>
            <w:shd w:fill="FFFFFF"/>
            <w:tcMar>
              <w:top w:w="75" w:type="dxa"/>
              <w:start w:w="85" w:type="dxa"/>
              <w:bottom w:w="75" w:type="dxa"/>
              <w:end w:w="85" w:type="dxa"/>
            </w:tcMar>
            <w:vAlign w:val="center"/>
          </w:tcPr>
          <w:p>
            <w:pPr>
              <w:spacing w:after="0" w:line="293" w:lineRule="auto"/>
            </w:pPr>
            <w:r>
              <w:rPr>
                <w:rFonts w:ascii="Malgun Gothic" w:hAnsi="Malgun Gothic" w:eastAsia="Malgun Gothic"/>
                <w:b w:val="0"/>
                <w:i w:val="0"/>
                <w:color w:val="222222"/>
                <w:sz w:val="17"/>
              </w:rPr>
              <w:t>목적사업비, 모금비용, 관리운영비, 사업성과</w:t>
            </w:r>
          </w:p>
        </w:tc>
      </w:tr>
      <w:tr>
        <w:tc>
          <w:tcPr>
            <w:tcW w:type="dxa" w:w="1987"/>
            <w:shd w:fill="EAF1F8"/>
            <w:tcMar>
              <w:top w:w="75" w:type="dxa"/>
              <w:start w:w="85" w:type="dxa"/>
              <w:bottom w:w="75" w:type="dxa"/>
              <w:end w:w="85" w:type="dxa"/>
            </w:tcMar>
            <w:vAlign w:val="center"/>
          </w:tcPr>
          <w:p>
            <w:pPr>
              <w:spacing w:after="0" w:line="293" w:lineRule="auto"/>
              <w:jc w:val="center"/>
            </w:pPr>
            <w:r>
              <w:rPr>
                <w:rFonts w:ascii="Malgun Gothic" w:hAnsi="Malgun Gothic" w:eastAsia="Malgun Gothic"/>
                <w:b/>
                <w:i w:val="0"/>
                <w:color w:val="17365D"/>
                <w:sz w:val="17"/>
              </w:rPr>
              <w:t>정부·지방자치단체</w:t>
            </w:r>
          </w:p>
        </w:tc>
        <w:tc>
          <w:tcPr>
            <w:tcW w:type="dxa" w:w="3384"/>
            <w:shd w:fill="EAF1F8"/>
            <w:tcMar>
              <w:top w:w="75" w:type="dxa"/>
              <w:start w:w="85" w:type="dxa"/>
              <w:bottom w:w="75" w:type="dxa"/>
              <w:end w:w="85" w:type="dxa"/>
            </w:tcMar>
            <w:vAlign w:val="center"/>
          </w:tcPr>
          <w:p>
            <w:pPr>
              <w:spacing w:after="0" w:line="293" w:lineRule="auto"/>
            </w:pPr>
            <w:r>
              <w:rPr>
                <w:rFonts w:ascii="Malgun Gothic" w:hAnsi="Malgun Gothic" w:eastAsia="Malgun Gothic"/>
                <w:b w:val="0"/>
                <w:i w:val="0"/>
                <w:color w:val="222222"/>
                <w:sz w:val="17"/>
              </w:rPr>
              <w:t>보조금 정산, 법령 준수, 지원 여부 결정</w:t>
            </w:r>
          </w:p>
        </w:tc>
        <w:tc>
          <w:tcPr>
            <w:tcW w:type="dxa" w:w="4392"/>
            <w:shd w:fill="EAF1F8"/>
            <w:tcMar>
              <w:top w:w="75" w:type="dxa"/>
              <w:start w:w="85" w:type="dxa"/>
              <w:bottom w:w="75" w:type="dxa"/>
              <w:end w:w="85" w:type="dxa"/>
            </w:tcMar>
            <w:vAlign w:val="center"/>
          </w:tcPr>
          <w:p>
            <w:pPr>
              <w:spacing w:after="0" w:line="293" w:lineRule="auto"/>
            </w:pPr>
            <w:r>
              <w:rPr>
                <w:rFonts w:ascii="Malgun Gothic" w:hAnsi="Malgun Gothic" w:eastAsia="Malgun Gothic"/>
                <w:b w:val="0"/>
                <w:i w:val="0"/>
                <w:color w:val="222222"/>
                <w:sz w:val="17"/>
              </w:rPr>
              <w:t>보조사업별 집행액, 잔액, 자부담, 공시·세무자료</w:t>
            </w:r>
          </w:p>
        </w:tc>
      </w:tr>
      <w:tr>
        <w:tc>
          <w:tcPr>
            <w:tcW w:type="dxa" w:w="1987"/>
            <w:shd w:fill="FFFFFF"/>
            <w:tcMar>
              <w:top w:w="75" w:type="dxa"/>
              <w:start w:w="85" w:type="dxa"/>
              <w:bottom w:w="75" w:type="dxa"/>
              <w:end w:w="85" w:type="dxa"/>
            </w:tcMar>
            <w:vAlign w:val="center"/>
          </w:tcPr>
          <w:p>
            <w:pPr>
              <w:spacing w:after="0" w:line="293" w:lineRule="auto"/>
              <w:jc w:val="center"/>
            </w:pPr>
            <w:r>
              <w:rPr>
                <w:rFonts w:ascii="Malgun Gothic" w:hAnsi="Malgun Gothic" w:eastAsia="Malgun Gothic"/>
                <w:b/>
                <w:i w:val="0"/>
                <w:color w:val="17365D"/>
                <w:sz w:val="17"/>
              </w:rPr>
              <w:t>수혜자·지역사회</w:t>
            </w:r>
          </w:p>
        </w:tc>
        <w:tc>
          <w:tcPr>
            <w:tcW w:type="dxa" w:w="3384"/>
            <w:shd w:fill="FFFFFF"/>
            <w:tcMar>
              <w:top w:w="75" w:type="dxa"/>
              <w:start w:w="85" w:type="dxa"/>
              <w:bottom w:w="75" w:type="dxa"/>
              <w:end w:w="85" w:type="dxa"/>
            </w:tcMar>
            <w:vAlign w:val="center"/>
          </w:tcPr>
          <w:p>
            <w:pPr>
              <w:spacing w:after="0" w:line="293" w:lineRule="auto"/>
            </w:pPr>
            <w:r>
              <w:rPr>
                <w:rFonts w:ascii="Malgun Gothic" w:hAnsi="Malgun Gothic" w:eastAsia="Malgun Gothic"/>
                <w:b w:val="0"/>
                <w:i w:val="0"/>
                <w:color w:val="222222"/>
                <w:sz w:val="17"/>
              </w:rPr>
              <w:t>서비스의 공정성과 지속 가능성 확인</w:t>
            </w:r>
          </w:p>
        </w:tc>
        <w:tc>
          <w:tcPr>
            <w:tcW w:type="dxa" w:w="4392"/>
            <w:shd w:fill="FFFFFF"/>
            <w:tcMar>
              <w:top w:w="75" w:type="dxa"/>
              <w:start w:w="85" w:type="dxa"/>
              <w:bottom w:w="75" w:type="dxa"/>
              <w:end w:w="85" w:type="dxa"/>
            </w:tcMar>
            <w:vAlign w:val="center"/>
          </w:tcPr>
          <w:p>
            <w:pPr>
              <w:spacing w:after="0" w:line="293" w:lineRule="auto"/>
            </w:pPr>
            <w:r>
              <w:rPr>
                <w:rFonts w:ascii="Malgun Gothic" w:hAnsi="Malgun Gothic" w:eastAsia="Malgun Gothic"/>
                <w:b w:val="0"/>
                <w:i w:val="0"/>
                <w:color w:val="222222"/>
                <w:sz w:val="17"/>
              </w:rPr>
              <w:t>서비스 제공 규모, 대상자 선정, 사업비, 재원 안정성</w:t>
            </w:r>
          </w:p>
        </w:tc>
      </w:tr>
      <w:tr>
        <w:tc>
          <w:tcPr>
            <w:tcW w:type="dxa" w:w="1987"/>
            <w:shd w:fill="EAF1F8"/>
            <w:tcMar>
              <w:top w:w="75" w:type="dxa"/>
              <w:start w:w="85" w:type="dxa"/>
              <w:bottom w:w="75" w:type="dxa"/>
              <w:end w:w="85" w:type="dxa"/>
            </w:tcMar>
            <w:vAlign w:val="center"/>
          </w:tcPr>
          <w:p>
            <w:pPr>
              <w:spacing w:after="0" w:line="293" w:lineRule="auto"/>
              <w:jc w:val="center"/>
            </w:pPr>
            <w:r>
              <w:rPr>
                <w:rFonts w:ascii="Malgun Gothic" w:hAnsi="Malgun Gothic" w:eastAsia="Malgun Gothic"/>
                <w:b/>
                <w:i w:val="0"/>
                <w:color w:val="17365D"/>
                <w:sz w:val="17"/>
              </w:rPr>
              <w:t>채권자·금융기관</w:t>
            </w:r>
          </w:p>
        </w:tc>
        <w:tc>
          <w:tcPr>
            <w:tcW w:type="dxa" w:w="3384"/>
            <w:shd w:fill="EAF1F8"/>
            <w:tcMar>
              <w:top w:w="75" w:type="dxa"/>
              <w:start w:w="85" w:type="dxa"/>
              <w:bottom w:w="75" w:type="dxa"/>
              <w:end w:w="85" w:type="dxa"/>
            </w:tcMar>
            <w:vAlign w:val="center"/>
          </w:tcPr>
          <w:p>
            <w:pPr>
              <w:spacing w:after="0" w:line="293" w:lineRule="auto"/>
            </w:pPr>
            <w:r>
              <w:rPr>
                <w:rFonts w:ascii="Malgun Gothic" w:hAnsi="Malgun Gothic" w:eastAsia="Malgun Gothic"/>
                <w:b w:val="0"/>
                <w:i w:val="0"/>
                <w:color w:val="222222"/>
                <w:sz w:val="17"/>
              </w:rPr>
              <w:t>상환능력과 재무안정성 평가</w:t>
            </w:r>
          </w:p>
        </w:tc>
        <w:tc>
          <w:tcPr>
            <w:tcW w:type="dxa" w:w="4392"/>
            <w:shd w:fill="EAF1F8"/>
            <w:tcMar>
              <w:top w:w="75" w:type="dxa"/>
              <w:start w:w="85" w:type="dxa"/>
              <w:bottom w:w="75" w:type="dxa"/>
              <w:end w:w="85" w:type="dxa"/>
            </w:tcMar>
            <w:vAlign w:val="center"/>
          </w:tcPr>
          <w:p>
            <w:pPr>
              <w:spacing w:after="0" w:line="293" w:lineRule="auto"/>
            </w:pPr>
            <w:r>
              <w:rPr>
                <w:rFonts w:ascii="Malgun Gothic" w:hAnsi="Malgun Gothic" w:eastAsia="Malgun Gothic"/>
                <w:b w:val="0"/>
                <w:i w:val="0"/>
                <w:color w:val="222222"/>
                <w:sz w:val="17"/>
              </w:rPr>
              <w:t>자산·부채, 현금흐름, 담보, 수입의 안정성</w:t>
            </w:r>
          </w:p>
        </w:tc>
      </w:tr>
      <w:tr>
        <w:tc>
          <w:tcPr>
            <w:tcW w:type="dxa" w:w="1987"/>
            <w:shd w:fill="FFFFFF"/>
            <w:tcMar>
              <w:top w:w="75" w:type="dxa"/>
              <w:start w:w="85" w:type="dxa"/>
              <w:bottom w:w="75" w:type="dxa"/>
              <w:end w:w="85" w:type="dxa"/>
            </w:tcMar>
            <w:vAlign w:val="center"/>
          </w:tcPr>
          <w:p>
            <w:pPr>
              <w:spacing w:after="0" w:line="293" w:lineRule="auto"/>
              <w:jc w:val="center"/>
            </w:pPr>
            <w:r>
              <w:rPr>
                <w:rFonts w:ascii="Malgun Gothic" w:hAnsi="Malgun Gothic" w:eastAsia="Malgun Gothic"/>
                <w:b/>
                <w:i w:val="0"/>
                <w:color w:val="17365D"/>
                <w:sz w:val="17"/>
              </w:rPr>
              <w:t>외부감사인·시민사회</w:t>
            </w:r>
          </w:p>
        </w:tc>
        <w:tc>
          <w:tcPr>
            <w:tcW w:type="dxa" w:w="3384"/>
            <w:shd w:fill="FFFFFF"/>
            <w:tcMar>
              <w:top w:w="75" w:type="dxa"/>
              <w:start w:w="85" w:type="dxa"/>
              <w:bottom w:w="75" w:type="dxa"/>
              <w:end w:w="85" w:type="dxa"/>
            </w:tcMar>
            <w:vAlign w:val="center"/>
          </w:tcPr>
          <w:p>
            <w:pPr>
              <w:spacing w:after="0" w:line="293" w:lineRule="auto"/>
            </w:pPr>
            <w:r>
              <w:rPr>
                <w:rFonts w:ascii="Malgun Gothic" w:hAnsi="Malgun Gothic" w:eastAsia="Malgun Gothic"/>
                <w:b w:val="0"/>
                <w:i w:val="0"/>
                <w:color w:val="222222"/>
                <w:sz w:val="17"/>
              </w:rPr>
              <w:t>재무정보의 신뢰성 검증과 공공감시</w:t>
            </w:r>
          </w:p>
        </w:tc>
        <w:tc>
          <w:tcPr>
            <w:tcW w:type="dxa" w:w="4392"/>
            <w:shd w:fill="FFFFFF"/>
            <w:tcMar>
              <w:top w:w="75" w:type="dxa"/>
              <w:start w:w="85" w:type="dxa"/>
              <w:bottom w:w="75" w:type="dxa"/>
              <w:end w:w="85" w:type="dxa"/>
            </w:tcMar>
            <w:vAlign w:val="center"/>
          </w:tcPr>
          <w:p>
            <w:pPr>
              <w:spacing w:after="0" w:line="293" w:lineRule="auto"/>
            </w:pPr>
            <w:r>
              <w:rPr>
                <w:rFonts w:ascii="Malgun Gothic" w:hAnsi="Malgun Gothic" w:eastAsia="Malgun Gothic"/>
                <w:b w:val="0"/>
                <w:i w:val="0"/>
                <w:color w:val="222222"/>
                <w:sz w:val="17"/>
              </w:rPr>
              <w:t>재무제표, 주석, 감사보고서, 관련자 거래 및 공시자료</w:t>
            </w:r>
          </w:p>
        </w:tc>
      </w:tr>
    </w:tbl>
    <w:p>
      <w:pPr>
        <w:keepNext/>
        <w:spacing w:before="140" w:after="80"/>
      </w:pPr>
      <w:r>
        <w:rPr>
          <w:rFonts w:ascii="Malgun Gothic" w:hAnsi="Malgun Gothic" w:eastAsia="Malgun Gothic"/>
          <w:b/>
          <w:i w:val="0"/>
          <w:color w:val="2F5597"/>
          <w:sz w:val="24"/>
        </w:rPr>
        <w:t>1) 내부 정보이용자</w:t>
      </w:r>
    </w:p>
    <w:p>
      <w:pPr>
        <w:spacing w:before="0" w:after="120" w:line="396" w:lineRule="auto"/>
        <w:ind w:firstLine="210"/>
        <w:jc w:val="both"/>
      </w:pPr>
      <w:r>
        <w:rPr>
          <w:rFonts w:ascii="Malgun Gothic" w:hAnsi="Malgun Gothic" w:eastAsia="Malgun Gothic"/>
          <w:b w:val="0"/>
          <w:i w:val="0"/>
          <w:color w:val="222222"/>
          <w:sz w:val="21"/>
        </w:rPr>
        <w:t>내부 정보이용자는 조직을 직접 운영하고 통제하는 사람들이다. 대표자와 이사회는 조직의 장기 전략과 사업 우선순위를 결정하며, 회계정보를 통해 한정된 재원을 어디에 배분할지 판단한다. 예산 대비 실제 집행액이 지속적으로 초과되는 사업은 구조조정이나 업무개선이 필요할 수 있고, 현금이 부족한 조직은 신규사업보다 기존 서비스의 안정적 유지에 집중해야 할 수 있다. 회계담당자는 거래를 정확히 기록하고 증빙을 관리하며, 내부감사나 감사는 장부와 자산이 실제와 일치하는지를 점검한다.</w:t>
      </w:r>
    </w:p>
    <w:p>
      <w:pPr>
        <w:keepNext/>
        <w:spacing w:before="140" w:after="80"/>
      </w:pPr>
      <w:r>
        <w:rPr>
          <w:rFonts w:ascii="Malgun Gothic" w:hAnsi="Malgun Gothic" w:eastAsia="Malgun Gothic"/>
          <w:b/>
          <w:i w:val="0"/>
          <w:color w:val="2F5597"/>
          <w:sz w:val="24"/>
        </w:rPr>
        <w:t>2) 기부자·회원·후원기관</w:t>
      </w:r>
    </w:p>
    <w:p>
      <w:pPr>
        <w:spacing w:before="0" w:after="120" w:line="396" w:lineRule="auto"/>
        <w:ind w:firstLine="210"/>
        <w:jc w:val="both"/>
      </w:pPr>
      <w:r>
        <w:rPr>
          <w:rFonts w:ascii="Malgun Gothic" w:hAnsi="Malgun Gothic" w:eastAsia="Malgun Gothic"/>
          <w:b w:val="0"/>
          <w:i w:val="0"/>
          <w:color w:val="222222"/>
          <w:sz w:val="21"/>
        </w:rPr>
        <w:t>기부자와 회원은 자신이 제공한 자원이 의미 있는 활동에 사용되었는지를 확인하기 위해 회계정보를 필요로 한다. 단순히 총지출액만 제시하는 것으로는 충분하지 않으며, 목적사업비·관리운영비·모금비용의 구성과 사업성과를 함께 보여줄 필요가 있다. 예를 들어 아동지원단체가 후원금 1억 원을 모금했다면, 실제 아동지원에 사용된 금액, 인건비와 홍보비, 다음 연도로 이월된 금액, 지원받은 아동 수 등을 함께 공개할 때 정보의 유용성이 높아진다.</w:t>
      </w:r>
    </w:p>
    <w:p>
      <w:pPr>
        <w:keepNext/>
        <w:spacing w:before="140" w:after="80"/>
      </w:pPr>
      <w:r>
        <w:rPr>
          <w:rFonts w:ascii="Malgun Gothic" w:hAnsi="Malgun Gothic" w:eastAsia="Malgun Gothic"/>
          <w:b/>
          <w:i w:val="0"/>
          <w:color w:val="2F5597"/>
          <w:sz w:val="24"/>
        </w:rPr>
        <w:t>3) 정부기관과 일반 시민</w:t>
      </w:r>
    </w:p>
    <w:p>
      <w:pPr>
        <w:spacing w:before="0" w:after="120" w:line="396" w:lineRule="auto"/>
        <w:ind w:firstLine="210"/>
        <w:jc w:val="both"/>
      </w:pPr>
      <w:r>
        <w:rPr>
          <w:rFonts w:ascii="Malgun Gothic" w:hAnsi="Malgun Gothic" w:eastAsia="Malgun Gothic"/>
          <w:b w:val="0"/>
          <w:i w:val="0"/>
          <w:color w:val="222222"/>
          <w:sz w:val="21"/>
        </w:rPr>
        <w:t>정부와 지방자치단체는 보조금이 승인된 목적과 예산 항목에 맞게 사용되었는지 확인하고, 향후 지원 여부와 규모를 결정하기 위해 회계정보를 활용한다. 일반 시민과 언론, 시민사회단체도 공익법인의 공시자료를 통해 사회적 자원이 투명하게 운영되는지를 감시한다. 이러한 외부 감시는 비영리조직에 부담만 주는 것이 아니라, 부정과 비효율을 줄이고 성실한 조직이 더 많은 신뢰와 자원을 확보하게 만드는 긍정적 기능을 한다.</w:t>
      </w:r>
    </w:p>
    <w:p>
      <w:pPr>
        <w:keepNext/>
        <w:spacing w:before="200" w:after="120"/>
        <w:pBdr>
          <w:bottom w:val="single" w:sz="12" w:space="4" w:color="C79A3B"/>
        </w:pBdr>
      </w:pPr>
      <w:r>
        <w:rPr>
          <w:rFonts w:ascii="Malgun Gothic" w:hAnsi="Malgun Gothic" w:eastAsia="Malgun Gothic"/>
          <w:b/>
          <w:i w:val="0"/>
          <w:color w:val="17365D"/>
          <w:sz w:val="30"/>
        </w:rPr>
        <w:t>Ⅴ. 영리회계와의 차이 및 적용 사례</w:t>
      </w:r>
    </w:p>
    <w:p>
      <w:pPr>
        <w:keepNext/>
        <w:spacing w:before="140" w:after="80"/>
      </w:pPr>
      <w:r>
        <w:rPr>
          <w:rFonts w:ascii="Malgun Gothic" w:hAnsi="Malgun Gothic" w:eastAsia="Malgun Gothic"/>
          <w:b/>
          <w:i w:val="0"/>
          <w:color w:val="2F5597"/>
          <w:sz w:val="24"/>
        </w:rPr>
        <w:t>1) 영리회계와 비영리회계의 차이</w:t>
      </w:r>
    </w:p>
    <w:tbl>
      <w:tblPr>
        <w:tblStyle w:val="TableGrid"/>
        <w:tblW w:type="auto" w:w="0"/>
        <w:jc w:val="center"/>
        <w:tblLayout w:type="fixed"/>
        <w:tblLook w:firstColumn="1" w:firstRow="1" w:lastColumn="0" w:lastRow="0" w:noHBand="0" w:noVBand="1" w:val="04A0"/>
      </w:tblPr>
      <w:tblGrid>
        <w:gridCol w:w="2160"/>
        <w:gridCol w:w="3816"/>
        <w:gridCol w:w="3816"/>
      </w:tblGrid>
      <w:tr>
        <w:trPr>
          <w:tblHeader w:val="true"/>
        </w:trPr>
        <w:tc>
          <w:tcPr>
            <w:tcW w:type="dxa" w:w="3264"/>
            <w:shd w:fill="17365D"/>
            <w:tcMar>
              <w:top w:w="90" w:type="dxa"/>
              <w:start w:w="90" w:type="dxa"/>
              <w:bottom w:w="90" w:type="dxa"/>
              <w:end w:w="90" w:type="dxa"/>
            </w:tcMar>
          </w:tcPr>
          <w:p>
            <w:pPr>
              <w:jc w:val="center"/>
            </w:pPr>
            <w:r>
              <w:rPr>
                <w:rFonts w:ascii="Malgun Gothic" w:hAnsi="Malgun Gothic" w:eastAsia="Malgun Gothic"/>
                <w:b/>
                <w:i w:val="0"/>
                <w:color w:val="FFFFFF"/>
                <w:sz w:val="19"/>
              </w:rPr>
              <w:t>구분</w:t>
            </w:r>
          </w:p>
        </w:tc>
        <w:tc>
          <w:tcPr>
            <w:tcW w:type="dxa" w:w="3264"/>
            <w:shd w:fill="17365D"/>
            <w:tcMar>
              <w:top w:w="90" w:type="dxa"/>
              <w:start w:w="90" w:type="dxa"/>
              <w:bottom w:w="90" w:type="dxa"/>
              <w:end w:w="90" w:type="dxa"/>
            </w:tcMar>
          </w:tcPr>
          <w:p>
            <w:pPr>
              <w:jc w:val="center"/>
            </w:pPr>
            <w:r>
              <w:rPr>
                <w:rFonts w:ascii="Malgun Gothic" w:hAnsi="Malgun Gothic" w:eastAsia="Malgun Gothic"/>
                <w:b/>
                <w:i w:val="0"/>
                <w:color w:val="FFFFFF"/>
                <w:sz w:val="19"/>
              </w:rPr>
              <w:t>영리회계</w:t>
            </w:r>
          </w:p>
        </w:tc>
        <w:tc>
          <w:tcPr>
            <w:tcW w:type="dxa" w:w="3264"/>
            <w:shd w:fill="17365D"/>
            <w:tcMar>
              <w:top w:w="90" w:type="dxa"/>
              <w:start w:w="90" w:type="dxa"/>
              <w:bottom w:w="90" w:type="dxa"/>
              <w:end w:w="90" w:type="dxa"/>
            </w:tcMar>
          </w:tcPr>
          <w:p>
            <w:pPr>
              <w:jc w:val="center"/>
            </w:pPr>
            <w:r>
              <w:rPr>
                <w:rFonts w:ascii="Malgun Gothic" w:hAnsi="Malgun Gothic" w:eastAsia="Malgun Gothic"/>
                <w:b/>
                <w:i w:val="0"/>
                <w:color w:val="FFFFFF"/>
                <w:sz w:val="19"/>
              </w:rPr>
              <w:t>비영리회계</w:t>
            </w:r>
          </w:p>
        </w:tc>
      </w:tr>
      <w:tr>
        <w:tc>
          <w:tcPr>
            <w:tcW w:type="dxa" w:w="2160"/>
            <w:shd w:fill="FFFFFF"/>
            <w:tcMar>
              <w:top w:w="75" w:type="dxa"/>
              <w:start w:w="85" w:type="dxa"/>
              <w:bottom w:w="75" w:type="dxa"/>
              <w:end w:w="85" w:type="dxa"/>
            </w:tcMar>
          </w:tcPr>
          <w:p>
            <w:pPr>
              <w:spacing w:after="0" w:line="300" w:lineRule="auto"/>
              <w:jc w:val="center"/>
            </w:pPr>
            <w:r>
              <w:rPr>
                <w:rFonts w:ascii="Malgun Gothic" w:hAnsi="Malgun Gothic" w:eastAsia="Malgun Gothic"/>
                <w:b/>
                <w:i w:val="0"/>
                <w:color w:val="17365D"/>
                <w:sz w:val="17"/>
              </w:rPr>
              <w:t>조직의 목적</w:t>
            </w:r>
          </w:p>
        </w:tc>
        <w:tc>
          <w:tcPr>
            <w:tcW w:type="dxa" w:w="3816"/>
            <w:shd w:fill="FFFFFF"/>
            <w:tcMar>
              <w:top w:w="75" w:type="dxa"/>
              <w:start w:w="85" w:type="dxa"/>
              <w:bottom w:w="75" w:type="dxa"/>
              <w:end w:w="85" w:type="dxa"/>
            </w:tcMar>
          </w:tcPr>
          <w:p>
            <w:pPr>
              <w:spacing w:after="0" w:line="300" w:lineRule="auto"/>
            </w:pPr>
            <w:r>
              <w:rPr>
                <w:rFonts w:ascii="Malgun Gothic" w:hAnsi="Malgun Gothic" w:eastAsia="Malgun Gothic"/>
                <w:b w:val="0"/>
                <w:i w:val="0"/>
                <w:color w:val="222222"/>
                <w:sz w:val="17"/>
              </w:rPr>
              <w:t>소유주 가치와 이익 창출</w:t>
            </w:r>
          </w:p>
        </w:tc>
        <w:tc>
          <w:tcPr>
            <w:tcW w:type="dxa" w:w="3816"/>
            <w:shd w:fill="FFFFFF"/>
            <w:tcMar>
              <w:top w:w="75" w:type="dxa"/>
              <w:start w:w="85" w:type="dxa"/>
              <w:bottom w:w="75" w:type="dxa"/>
              <w:end w:w="85" w:type="dxa"/>
            </w:tcMar>
          </w:tcPr>
          <w:p>
            <w:pPr>
              <w:spacing w:after="0" w:line="300" w:lineRule="auto"/>
            </w:pPr>
            <w:r>
              <w:rPr>
                <w:rFonts w:ascii="Malgun Gothic" w:hAnsi="Malgun Gothic" w:eastAsia="Malgun Gothic"/>
                <w:b w:val="0"/>
                <w:i w:val="0"/>
                <w:color w:val="222222"/>
                <w:sz w:val="17"/>
              </w:rPr>
              <w:t>공익·교육·복지 등 사명 달성</w:t>
            </w:r>
          </w:p>
        </w:tc>
      </w:tr>
      <w:tr>
        <w:tc>
          <w:tcPr>
            <w:tcW w:type="dxa" w:w="2160"/>
            <w:shd w:fill="F2F4F7"/>
            <w:tcMar>
              <w:top w:w="75" w:type="dxa"/>
              <w:start w:w="85" w:type="dxa"/>
              <w:bottom w:w="75" w:type="dxa"/>
              <w:end w:w="85" w:type="dxa"/>
            </w:tcMar>
          </w:tcPr>
          <w:p>
            <w:pPr>
              <w:spacing w:after="0" w:line="300" w:lineRule="auto"/>
              <w:jc w:val="center"/>
            </w:pPr>
            <w:r>
              <w:rPr>
                <w:rFonts w:ascii="Malgun Gothic" w:hAnsi="Malgun Gothic" w:eastAsia="Malgun Gothic"/>
                <w:b/>
                <w:i w:val="0"/>
                <w:color w:val="17365D"/>
                <w:sz w:val="17"/>
              </w:rPr>
              <w:t>성과의 초점</w:t>
            </w:r>
          </w:p>
        </w:tc>
        <w:tc>
          <w:tcPr>
            <w:tcW w:type="dxa" w:w="3816"/>
            <w:shd w:fill="F2F4F7"/>
            <w:tcMar>
              <w:top w:w="75" w:type="dxa"/>
              <w:start w:w="85" w:type="dxa"/>
              <w:bottom w:w="75" w:type="dxa"/>
              <w:end w:w="85" w:type="dxa"/>
            </w:tcMar>
          </w:tcPr>
          <w:p>
            <w:pPr>
              <w:spacing w:after="0" w:line="300" w:lineRule="auto"/>
            </w:pPr>
            <w:r>
              <w:rPr>
                <w:rFonts w:ascii="Malgun Gothic" w:hAnsi="Malgun Gothic" w:eastAsia="Malgun Gothic"/>
                <w:b w:val="0"/>
                <w:i w:val="0"/>
                <w:color w:val="222222"/>
                <w:sz w:val="17"/>
              </w:rPr>
              <w:t>매출, 비용, 이익, 투자수익률</w:t>
            </w:r>
          </w:p>
        </w:tc>
        <w:tc>
          <w:tcPr>
            <w:tcW w:type="dxa" w:w="3816"/>
            <w:shd w:fill="F2F4F7"/>
            <w:tcMar>
              <w:top w:w="75" w:type="dxa"/>
              <w:start w:w="85" w:type="dxa"/>
              <w:bottom w:w="75" w:type="dxa"/>
              <w:end w:w="85" w:type="dxa"/>
            </w:tcMar>
          </w:tcPr>
          <w:p>
            <w:pPr>
              <w:spacing w:after="0" w:line="300" w:lineRule="auto"/>
            </w:pPr>
            <w:r>
              <w:rPr>
                <w:rFonts w:ascii="Malgun Gothic" w:hAnsi="Malgun Gothic" w:eastAsia="Malgun Gothic"/>
                <w:b w:val="0"/>
                <w:i w:val="0"/>
                <w:color w:val="222222"/>
                <w:sz w:val="17"/>
              </w:rPr>
              <w:t>목적사업 수행, 자원 사용의 책임, 서비스 성과</w:t>
            </w:r>
          </w:p>
        </w:tc>
      </w:tr>
      <w:tr>
        <w:tc>
          <w:tcPr>
            <w:tcW w:type="dxa" w:w="2160"/>
            <w:shd w:fill="FFFFFF"/>
            <w:tcMar>
              <w:top w:w="75" w:type="dxa"/>
              <w:start w:w="85" w:type="dxa"/>
              <w:bottom w:w="75" w:type="dxa"/>
              <w:end w:w="85" w:type="dxa"/>
            </w:tcMar>
          </w:tcPr>
          <w:p>
            <w:pPr>
              <w:spacing w:after="0" w:line="300" w:lineRule="auto"/>
              <w:jc w:val="center"/>
            </w:pPr>
            <w:r>
              <w:rPr>
                <w:rFonts w:ascii="Malgun Gothic" w:hAnsi="Malgun Gothic" w:eastAsia="Malgun Gothic"/>
                <w:b/>
                <w:i w:val="0"/>
                <w:color w:val="17365D"/>
                <w:sz w:val="17"/>
              </w:rPr>
              <w:t>자원 제공자</w:t>
            </w:r>
          </w:p>
        </w:tc>
        <w:tc>
          <w:tcPr>
            <w:tcW w:type="dxa" w:w="3816"/>
            <w:shd w:fill="FFFFFF"/>
            <w:tcMar>
              <w:top w:w="75" w:type="dxa"/>
              <w:start w:w="85" w:type="dxa"/>
              <w:bottom w:w="75" w:type="dxa"/>
              <w:end w:w="85" w:type="dxa"/>
            </w:tcMar>
          </w:tcPr>
          <w:p>
            <w:pPr>
              <w:spacing w:after="0" w:line="300" w:lineRule="auto"/>
            </w:pPr>
            <w:r>
              <w:rPr>
                <w:rFonts w:ascii="Malgun Gothic" w:hAnsi="Malgun Gothic" w:eastAsia="Malgun Gothic"/>
                <w:b w:val="0"/>
                <w:i w:val="0"/>
                <w:color w:val="222222"/>
                <w:sz w:val="17"/>
              </w:rPr>
              <w:t>주주, 투자자, 고객, 채권자</w:t>
            </w:r>
          </w:p>
        </w:tc>
        <w:tc>
          <w:tcPr>
            <w:tcW w:type="dxa" w:w="3816"/>
            <w:shd w:fill="FFFFFF"/>
            <w:tcMar>
              <w:top w:w="75" w:type="dxa"/>
              <w:start w:w="85" w:type="dxa"/>
              <w:bottom w:w="75" w:type="dxa"/>
              <w:end w:w="85" w:type="dxa"/>
            </w:tcMar>
          </w:tcPr>
          <w:p>
            <w:pPr>
              <w:spacing w:after="0" w:line="300" w:lineRule="auto"/>
            </w:pPr>
            <w:r>
              <w:rPr>
                <w:rFonts w:ascii="Malgun Gothic" w:hAnsi="Malgun Gothic" w:eastAsia="Malgun Gothic"/>
                <w:b w:val="0"/>
                <w:i w:val="0"/>
                <w:color w:val="222222"/>
                <w:sz w:val="17"/>
              </w:rPr>
              <w:t>기부자, 회원, 정부, 수혜자, 시민</w:t>
            </w:r>
          </w:p>
        </w:tc>
      </w:tr>
      <w:tr>
        <w:tc>
          <w:tcPr>
            <w:tcW w:type="dxa" w:w="2160"/>
            <w:shd w:fill="F2F4F7"/>
            <w:tcMar>
              <w:top w:w="75" w:type="dxa"/>
              <w:start w:w="85" w:type="dxa"/>
              <w:bottom w:w="75" w:type="dxa"/>
              <w:end w:w="85" w:type="dxa"/>
            </w:tcMar>
          </w:tcPr>
          <w:p>
            <w:pPr>
              <w:spacing w:after="0" w:line="300" w:lineRule="auto"/>
              <w:jc w:val="center"/>
            </w:pPr>
            <w:r>
              <w:rPr>
                <w:rFonts w:ascii="Malgun Gothic" w:hAnsi="Malgun Gothic" w:eastAsia="Malgun Gothic"/>
                <w:b/>
                <w:i w:val="0"/>
                <w:color w:val="17365D"/>
                <w:sz w:val="17"/>
              </w:rPr>
              <w:t>잉여의 처리</w:t>
            </w:r>
          </w:p>
        </w:tc>
        <w:tc>
          <w:tcPr>
            <w:tcW w:type="dxa" w:w="3816"/>
            <w:shd w:fill="F2F4F7"/>
            <w:tcMar>
              <w:top w:w="75" w:type="dxa"/>
              <w:start w:w="85" w:type="dxa"/>
              <w:bottom w:w="75" w:type="dxa"/>
              <w:end w:w="85" w:type="dxa"/>
            </w:tcMar>
          </w:tcPr>
          <w:p>
            <w:pPr>
              <w:spacing w:after="0" w:line="300" w:lineRule="auto"/>
            </w:pPr>
            <w:r>
              <w:rPr>
                <w:rFonts w:ascii="Malgun Gothic" w:hAnsi="Malgun Gothic" w:eastAsia="Malgun Gothic"/>
                <w:b w:val="0"/>
                <w:i w:val="0"/>
                <w:color w:val="222222"/>
                <w:sz w:val="17"/>
              </w:rPr>
              <w:t>주주에게 배당하거나 기업가치에 귀속</w:t>
            </w:r>
          </w:p>
        </w:tc>
        <w:tc>
          <w:tcPr>
            <w:tcW w:type="dxa" w:w="3816"/>
            <w:shd w:fill="F2F4F7"/>
            <w:tcMar>
              <w:top w:w="75" w:type="dxa"/>
              <w:start w:w="85" w:type="dxa"/>
              <w:bottom w:w="75" w:type="dxa"/>
              <w:end w:w="85" w:type="dxa"/>
            </w:tcMar>
          </w:tcPr>
          <w:p>
            <w:pPr>
              <w:spacing w:after="0" w:line="300" w:lineRule="auto"/>
            </w:pPr>
            <w:r>
              <w:rPr>
                <w:rFonts w:ascii="Malgun Gothic" w:hAnsi="Malgun Gothic" w:eastAsia="Malgun Gothic"/>
                <w:b w:val="0"/>
                <w:i w:val="0"/>
                <w:color w:val="222222"/>
                <w:sz w:val="17"/>
              </w:rPr>
              <w:t>원칙적으로 목적사업에 재투입</w:t>
            </w:r>
          </w:p>
        </w:tc>
      </w:tr>
      <w:tr>
        <w:tc>
          <w:tcPr>
            <w:tcW w:type="dxa" w:w="2160"/>
            <w:shd w:fill="FFFFFF"/>
            <w:tcMar>
              <w:top w:w="75" w:type="dxa"/>
              <w:start w:w="85" w:type="dxa"/>
              <w:bottom w:w="75" w:type="dxa"/>
              <w:end w:w="85" w:type="dxa"/>
            </w:tcMar>
          </w:tcPr>
          <w:p>
            <w:pPr>
              <w:spacing w:after="0" w:line="300" w:lineRule="auto"/>
              <w:jc w:val="center"/>
            </w:pPr>
            <w:r>
              <w:rPr>
                <w:rFonts w:ascii="Malgun Gothic" w:hAnsi="Malgun Gothic" w:eastAsia="Malgun Gothic"/>
                <w:b/>
                <w:i w:val="0"/>
                <w:color w:val="17365D"/>
                <w:sz w:val="17"/>
              </w:rPr>
              <w:t>중요한 구분</w:t>
            </w:r>
          </w:p>
        </w:tc>
        <w:tc>
          <w:tcPr>
            <w:tcW w:type="dxa" w:w="3816"/>
            <w:shd w:fill="FFFFFF"/>
            <w:tcMar>
              <w:top w:w="75" w:type="dxa"/>
              <w:start w:w="85" w:type="dxa"/>
              <w:bottom w:w="75" w:type="dxa"/>
              <w:end w:w="85" w:type="dxa"/>
            </w:tcMar>
          </w:tcPr>
          <w:p>
            <w:pPr>
              <w:spacing w:after="0" w:line="300" w:lineRule="auto"/>
            </w:pPr>
            <w:r>
              <w:rPr>
                <w:rFonts w:ascii="Malgun Gothic" w:hAnsi="Malgun Gothic" w:eastAsia="Malgun Gothic"/>
                <w:b w:val="0"/>
                <w:i w:val="0"/>
                <w:color w:val="222222"/>
                <w:sz w:val="17"/>
              </w:rPr>
              <w:t>영업·비영업, 자산·부채·자본</w:t>
            </w:r>
          </w:p>
        </w:tc>
        <w:tc>
          <w:tcPr>
            <w:tcW w:type="dxa" w:w="3816"/>
            <w:shd w:fill="FFFFFF"/>
            <w:tcMar>
              <w:top w:w="75" w:type="dxa"/>
              <w:start w:w="85" w:type="dxa"/>
              <w:bottom w:w="75" w:type="dxa"/>
              <w:end w:w="85" w:type="dxa"/>
            </w:tcMar>
          </w:tcPr>
          <w:p>
            <w:pPr>
              <w:spacing w:after="0" w:line="300" w:lineRule="auto"/>
            </w:pPr>
            <w:r>
              <w:rPr>
                <w:rFonts w:ascii="Malgun Gothic" w:hAnsi="Malgun Gothic" w:eastAsia="Malgun Gothic"/>
                <w:b w:val="0"/>
                <w:i w:val="0"/>
                <w:color w:val="222222"/>
                <w:sz w:val="17"/>
              </w:rPr>
              <w:t>목적사업·기타사업, 제한·비제한 순자산</w:t>
            </w:r>
          </w:p>
        </w:tc>
      </w:tr>
      <w:tr>
        <w:tc>
          <w:tcPr>
            <w:tcW w:type="dxa" w:w="2160"/>
            <w:shd w:fill="F2F4F7"/>
            <w:tcMar>
              <w:top w:w="75" w:type="dxa"/>
              <w:start w:w="85" w:type="dxa"/>
              <w:bottom w:w="75" w:type="dxa"/>
              <w:end w:w="85" w:type="dxa"/>
            </w:tcMar>
          </w:tcPr>
          <w:p>
            <w:pPr>
              <w:spacing w:after="0" w:line="300" w:lineRule="auto"/>
              <w:jc w:val="center"/>
            </w:pPr>
            <w:r>
              <w:rPr>
                <w:rFonts w:ascii="Malgun Gothic" w:hAnsi="Malgun Gothic" w:eastAsia="Malgun Gothic"/>
                <w:b/>
                <w:i w:val="0"/>
                <w:color w:val="17365D"/>
                <w:sz w:val="17"/>
              </w:rPr>
              <w:t>보고의 핵심</w:t>
            </w:r>
          </w:p>
        </w:tc>
        <w:tc>
          <w:tcPr>
            <w:tcW w:type="dxa" w:w="3816"/>
            <w:shd w:fill="F2F4F7"/>
            <w:tcMar>
              <w:top w:w="75" w:type="dxa"/>
              <w:start w:w="85" w:type="dxa"/>
              <w:bottom w:w="75" w:type="dxa"/>
              <w:end w:w="85" w:type="dxa"/>
            </w:tcMar>
          </w:tcPr>
          <w:p>
            <w:pPr>
              <w:spacing w:after="0" w:line="300" w:lineRule="auto"/>
            </w:pPr>
            <w:r>
              <w:rPr>
                <w:rFonts w:ascii="Malgun Gothic" w:hAnsi="Malgun Gothic" w:eastAsia="Malgun Gothic"/>
                <w:b w:val="0"/>
                <w:i w:val="0"/>
                <w:color w:val="222222"/>
                <w:sz w:val="17"/>
              </w:rPr>
              <w:t>수익성과 재무위험</w:t>
            </w:r>
          </w:p>
        </w:tc>
        <w:tc>
          <w:tcPr>
            <w:tcW w:type="dxa" w:w="3816"/>
            <w:shd w:fill="F2F4F7"/>
            <w:tcMar>
              <w:top w:w="75" w:type="dxa"/>
              <w:start w:w="85" w:type="dxa"/>
              <w:bottom w:w="75" w:type="dxa"/>
              <w:end w:w="85" w:type="dxa"/>
            </w:tcMar>
          </w:tcPr>
          <w:p>
            <w:pPr>
              <w:spacing w:after="0" w:line="300" w:lineRule="auto"/>
            </w:pPr>
            <w:r>
              <w:rPr>
                <w:rFonts w:ascii="Malgun Gothic" w:hAnsi="Malgun Gothic" w:eastAsia="Malgun Gothic"/>
                <w:b w:val="0"/>
                <w:i w:val="0"/>
                <w:color w:val="222222"/>
                <w:sz w:val="17"/>
              </w:rPr>
              <w:t>책임성, 투명성, 재정의 지속가능성</w:t>
            </w:r>
          </w:p>
        </w:tc>
      </w:tr>
    </w:tbl>
    <w:p>
      <w:pPr>
        <w:spacing w:before="0" w:after="120" w:line="396" w:lineRule="auto"/>
        <w:ind w:firstLine="210"/>
        <w:jc w:val="both"/>
      </w:pPr>
      <w:r>
        <w:rPr>
          <w:rFonts w:ascii="Malgun Gothic" w:hAnsi="Malgun Gothic" w:eastAsia="Malgun Gothic"/>
          <w:b w:val="0"/>
          <w:i w:val="0"/>
          <w:color w:val="222222"/>
          <w:sz w:val="21"/>
        </w:rPr>
        <w:t>두 회계 모두 경제적 거래를 복식부기로 기록하고 자산·부채·수익·비용을 측정한다는 공통점이 있다. 그러나 정보의 해석 기준이 다르다. 영리기업에서 비용 증가가 이익 감소를 의미한다면, 비영리조직에서는 목적사업비의 증가는 더 많은 서비스를 제공한 결과일 수 있다. 반대로 관리운영비를 무조건 낮추는 것이 바람직하다고 단정할 수도 없다. 전문 인력 확보와 정보시스템 구축, 내부통제 강화를 위한 적정한 관리비는 사업의 질과 지속가능성을 높이기 때문이다. 따라서 비영리회계에서는 비용의 크기뿐 아니라 비용이 발생한 목적과 사업성과를 함께 평가해야 한다.</w:t>
      </w:r>
    </w:p>
    <w:p>
      <w:pPr>
        <w:keepNext/>
        <w:spacing w:before="140" w:after="80"/>
      </w:pPr>
      <w:r>
        <w:rPr>
          <w:rFonts w:ascii="Malgun Gothic" w:hAnsi="Malgun Gothic" w:eastAsia="Malgun Gothic"/>
          <w:b/>
          <w:i w:val="0"/>
          <w:color w:val="2F5597"/>
          <w:sz w:val="24"/>
        </w:rPr>
        <w:t>2) 사회복지기관의 사례</w:t>
      </w:r>
    </w:p>
    <w:p>
      <w:pPr>
        <w:spacing w:before="0" w:after="120" w:line="396" w:lineRule="auto"/>
        <w:ind w:firstLine="210"/>
        <w:jc w:val="both"/>
      </w:pPr>
      <w:r>
        <w:rPr>
          <w:rFonts w:ascii="Malgun Gothic" w:hAnsi="Malgun Gothic" w:eastAsia="Malgun Gothic"/>
          <w:b w:val="0"/>
          <w:i w:val="0"/>
          <w:color w:val="222222"/>
          <w:sz w:val="21"/>
        </w:rPr>
        <w:t>지역 사회복지관이 지방자치단체 보조금 2억 원, 후원금 5천만 원, 프로그램 이용료 2천만 원을 받아 노인 돌봄과 아동 방과후 프로그램을 운영한다고 가정해 보자. 이 기관은 보조사업별로 승인된 예산과 실제 지출을 비교하고, 후원금이 지정후원금인지 비지정후원금인지 구분해야 한다. 또한 인건비, 프로그램 재료비, 급식비, 차량비, 시설관리비 등을 적절한 사업과 계정에 배분해야 한다. 회계정보는 지방자치단체의 보조금 정산, 후원자의 사용내역 확인, 이사회의 다음 연도 예산 편성에 동시에 사용된다.</w:t>
      </w:r>
    </w:p>
    <w:p>
      <w:pPr>
        <w:keepNext/>
        <w:spacing w:before="140" w:after="80"/>
      </w:pPr>
      <w:r>
        <w:rPr>
          <w:rFonts w:ascii="Malgun Gothic" w:hAnsi="Malgun Gothic" w:eastAsia="Malgun Gothic"/>
          <w:b/>
          <w:i w:val="0"/>
          <w:color w:val="2F5597"/>
          <w:sz w:val="24"/>
        </w:rPr>
        <w:t>3) 장학재단의 사례</w:t>
      </w:r>
    </w:p>
    <w:p>
      <w:pPr>
        <w:spacing w:before="0" w:after="120" w:line="396" w:lineRule="auto"/>
        <w:ind w:firstLine="210"/>
        <w:jc w:val="both"/>
      </w:pPr>
      <w:r>
        <w:rPr>
          <w:rFonts w:ascii="Malgun Gothic" w:hAnsi="Malgun Gothic" w:eastAsia="Malgun Gothic"/>
          <w:b w:val="0"/>
          <w:i w:val="0"/>
          <w:color w:val="222222"/>
          <w:sz w:val="21"/>
        </w:rPr>
        <w:t>장학재단은 원금의 보존을 조건으로 받은 기부금과 당해 연도 장학금으로 사용할 수 있는 기부금을 구분해야 한다. 기부자가 원금은 보존하고 운용수익만 장학금으로 사용하도록 조건을 붙였다면, 재단은 원금을 일반 운영비로 사용할 수 없다. 회계장부에서 이러한 제한을 명확히 표시하고, 운용수익과 장학금 지급액, 미지급 장학금, 관리운영비를 보고해야 기부자의 의도와 재단의 운영 결과가 연결된다.</w:t>
      </w:r>
    </w:p>
    <w:p>
      <w:pPr>
        <w:keepNext/>
        <w:spacing w:before="140" w:after="80"/>
      </w:pPr>
      <w:r>
        <w:rPr>
          <w:rFonts w:ascii="Malgun Gothic" w:hAnsi="Malgun Gothic" w:eastAsia="Malgun Gothic"/>
          <w:b/>
          <w:i w:val="0"/>
          <w:color w:val="2F5597"/>
          <w:sz w:val="24"/>
        </w:rPr>
        <w:t>4) 비영리회계의 한계와 개선 방향</w:t>
      </w:r>
    </w:p>
    <w:p>
      <w:pPr>
        <w:spacing w:before="0" w:after="120" w:line="396" w:lineRule="auto"/>
        <w:ind w:firstLine="210"/>
        <w:jc w:val="both"/>
      </w:pPr>
      <w:r>
        <w:rPr>
          <w:rFonts w:ascii="Malgun Gothic" w:hAnsi="Malgun Gothic" w:eastAsia="Malgun Gothic"/>
          <w:b w:val="0"/>
          <w:i w:val="0"/>
          <w:color w:val="222222"/>
          <w:sz w:val="21"/>
        </w:rPr>
        <w:t>비영리회계는 금액으로 측정되는 정보를 중심으로 하기 때문에 서비스의 질, 수혜자의 삶의 변화, 지역사회의 신뢰와 같은 비재무적 성과를 완전하게 보여주기 어렵다. 또한 조직마다 사업의 성격이 달라 관리비 비율이나 1인당 사업비만으로 성과를 단순 비교하면 왜곡된 결론에 이를 수 있다. 따라서 재무제표와 함께 사업목표, 주요 활동, 수혜자 수, 만족도, 성과지표, 향후 계획을 포함한 통합적 보고가 필요하다.</w:t>
      </w:r>
    </w:p>
    <w:p>
      <w:pPr>
        <w:spacing w:before="0" w:after="120" w:line="396" w:lineRule="auto"/>
        <w:ind w:firstLine="210"/>
        <w:jc w:val="both"/>
      </w:pPr>
      <w:r>
        <w:rPr>
          <w:rFonts w:ascii="Malgun Gothic" w:hAnsi="Malgun Gothic" w:eastAsia="Malgun Gothic"/>
          <w:b w:val="0"/>
          <w:i w:val="0"/>
          <w:color w:val="222222"/>
          <w:sz w:val="21"/>
        </w:rPr>
        <w:t>개선 방향으로는 첫째, 규모에 맞는 회계기준과 계정과목을 정비해야 한다. 둘째, 목적이 제한된 재원과 일반재원을 명확히 분리해야 한다. 셋째, 예산·회계·성과관리 시스템을 연계해야 한다. 넷째, 이사회와 감사의 실질적인 감독을 강화하고 회계담당자 교육을 정기적으로 실시해야 한다. 다섯째, 일반 시민도 이해할 수 있도록 핵심 재무정보와 사업성과를 쉬운 표현으로 공개해야 한다.</w:t>
      </w:r>
    </w:p>
    <w:p>
      <w:pPr>
        <w:keepNext/>
        <w:spacing w:before="200" w:after="120"/>
        <w:pBdr>
          <w:bottom w:val="single" w:sz="12" w:space="4" w:color="C79A3B"/>
        </w:pBdr>
      </w:pPr>
      <w:r>
        <w:rPr>
          <w:rFonts w:ascii="Malgun Gothic" w:hAnsi="Malgun Gothic" w:eastAsia="Malgun Gothic"/>
          <w:b/>
          <w:i w:val="0"/>
          <w:color w:val="17365D"/>
          <w:sz w:val="30"/>
        </w:rPr>
        <w:t>Ⅵ. 결론</w:t>
      </w:r>
    </w:p>
    <w:p>
      <w:pPr>
        <w:spacing w:before="0" w:after="120" w:line="396" w:lineRule="auto"/>
        <w:ind w:firstLine="210"/>
        <w:jc w:val="both"/>
      </w:pPr>
      <w:r>
        <w:rPr>
          <w:rFonts w:ascii="Malgun Gothic" w:hAnsi="Malgun Gothic" w:eastAsia="Malgun Gothic"/>
          <w:b w:val="0"/>
          <w:i w:val="0"/>
          <w:color w:val="222222"/>
          <w:sz w:val="21"/>
        </w:rPr>
        <w:t>비영리회계는 영리를 목적으로 하지 않는 조직이 보유한 자원과 의무, 수입과 지출, 순자산의 변동을 기록하고 보고하는 회계이다. 그러나 그 의미는 단순한 장부 작성에 머물지 않는다. 비영리조직이 기부금, 회비, 보조금, 사업수입 등 사회로부터 맡은 자원을 약속된 목적에 맞게 사용했는지를 설명하고, 공익적 사명을 지속적으로 수행할 수 있는지를 보여주는 사회적 책임의 수단이라는 점이 핵심이다.</w:t>
      </w:r>
    </w:p>
    <w:p>
      <w:pPr>
        <w:spacing w:before="0" w:after="120" w:line="396" w:lineRule="auto"/>
        <w:ind w:firstLine="210"/>
        <w:jc w:val="both"/>
      </w:pPr>
      <w:r>
        <w:rPr>
          <w:rFonts w:ascii="Malgun Gothic" w:hAnsi="Malgun Gothic" w:eastAsia="Malgun Gothic"/>
          <w:b w:val="0"/>
          <w:i w:val="0"/>
          <w:color w:val="222222"/>
          <w:sz w:val="21"/>
        </w:rPr>
        <w:t>비영리회계정보는 특정한 한 사람만을 위해 작성되는 것이 아니다. 조직 내부에서는 대표자, 이사회, 회계담당자와 감사가 예산을 편성하고 사업을 통제하며 재정위험을 관리하기 위해 사용한다. 조직 외부에서는 기부자와 회원이 후원 여부를 판단하고, 정부와 지방자치단체가 보조금 정산과 법령 준수 여부를 확인하며, 수혜자와 시민이 서비스의 공정성과 조직의 신뢰성을 평가한다. 금융기관과 외부감사인 역시 재무안정성과 정보의 신뢰성을 판단하기 위해 비영리회계정보를 필요로 한다.</w:t>
      </w:r>
    </w:p>
    <w:p>
      <w:pPr>
        <w:spacing w:before="0" w:after="120" w:line="396" w:lineRule="auto"/>
        <w:ind w:firstLine="210"/>
        <w:jc w:val="both"/>
      </w:pPr>
      <w:r>
        <w:rPr>
          <w:rFonts w:ascii="Malgun Gothic" w:hAnsi="Malgun Gothic" w:eastAsia="Malgun Gothic"/>
          <w:b w:val="0"/>
          <w:i w:val="0"/>
          <w:color w:val="222222"/>
          <w:sz w:val="21"/>
        </w:rPr>
        <w:t>필자의 견해로는 비영리회계의 가장 중요한 가치는 숫자를 공개하는 행위 자체가 아니라, 조직의 사명과 자원의 사용 결과를 연결하여 설명하는 데 있다. 관리비 비율을 낮추는 것만을 목표로 하면 전문 인력과 내부통제가 약화될 수 있고, 사업비를 많이 지출했다는 사실만으로 실제 사회적 성과가 달성되었다고 볼 수도 없다. 따라서 비영리조직은 재무정보와 비재무적 성과를 함께 보고하고, 이해관계자가 자원의 흐름과 활동 결과를 쉽게 이해하도록 해야 한다. 이러한 회계문화가 정착될 때 성실한 비영리조직은 더 큰 신뢰를 얻고, 사회의 기부와 공익활동도 지속적으로 확대될 수 있을 것이다.</w:t>
      </w:r>
    </w:p>
    <w:tbl>
      <w:tblPr>
        <w:tblW w:type="auto" w:w="0"/>
        <w:jc w:val="center"/>
        <w:tblLayout w:type="fixed"/>
        <w:tblLook w:firstColumn="1" w:firstRow="1" w:lastColumn="0" w:lastRow="0" w:noHBand="0" w:noVBand="1" w:val="04A0"/>
      </w:tblPr>
      <w:tblGrid>
        <w:gridCol w:w="9792"/>
      </w:tblGrid>
      <w:tr>
        <w:tc>
          <w:tcPr>
            <w:tcW w:type="dxa" w:w="9792"/>
            <w:shd w:fill="EAF1F8"/>
            <w:tcMar>
              <w:top w:w="160" w:type="dxa"/>
              <w:start w:w="180" w:type="dxa"/>
              <w:bottom w:w="160" w:type="dxa"/>
              <w:end w:w="180" w:type="dxa"/>
            </w:tcMar>
            <w:tcBorders>
              <w:top w:val="single" w:sz="8" w:color="2F5597"/>
              <w:left w:val="single" w:sz="8" w:color="2F5597"/>
              <w:bottom w:val="single" w:sz="8" w:color="2F5597"/>
              <w:right w:val="single" w:sz="8" w:color="2F5597"/>
            </w:tcBorders>
          </w:tcPr>
          <w:p>
            <w:pPr>
              <w:spacing w:after="60"/>
            </w:pPr>
            <w:r>
              <w:rPr>
                <w:rFonts w:ascii="Malgun Gothic" w:hAnsi="Malgun Gothic" w:eastAsia="Malgun Gothic"/>
                <w:b/>
                <w:i w:val="0"/>
                <w:color w:val="2F5597"/>
                <w:sz w:val="21"/>
              </w:rPr>
              <w:t>종합 정리</w:t>
            </w:r>
          </w:p>
          <w:p>
            <w:pPr>
              <w:spacing w:after="0" w:line="348" w:lineRule="auto"/>
            </w:pPr>
            <w:r>
              <w:rPr>
                <w:rFonts w:ascii="Malgun Gothic" w:hAnsi="Malgun Gothic" w:eastAsia="Malgun Gothic"/>
                <w:b w:val="0"/>
                <w:i w:val="0"/>
                <w:color w:val="222222"/>
                <w:sz w:val="20"/>
              </w:rPr>
              <w:t>비영리회계는 조직 내부의 관리회계이자 외부 이해관계자에 대한 책임회계이다. 필요한 이용자는 이사회·경영자·회계담당자뿐 아니라 기부자·회원·정부기관·수혜자·금융기관·외부감사인·일반 시민까지 포함한다.</w:t>
            </w:r>
          </w:p>
        </w:tc>
      </w:tr>
    </w:tbl>
    <w:p>
      <w:pPr>
        <w:spacing w:after="20"/>
      </w:pPr>
    </w:p>
    <w:p>
      <w:pPr>
        <w:keepNext/>
        <w:spacing w:before="200" w:after="120"/>
        <w:pBdr>
          <w:bottom w:val="single" w:sz="12" w:space="4" w:color="C79A3B"/>
        </w:pBdr>
      </w:pPr>
      <w:r>
        <w:rPr>
          <w:rFonts w:ascii="Malgun Gothic" w:hAnsi="Malgun Gothic" w:eastAsia="Malgun Gothic"/>
          <w:b/>
          <w:i w:val="0"/>
          <w:color w:val="17365D"/>
          <w:sz w:val="30"/>
        </w:rPr>
        <w:t>참고문헌</w:t>
      </w:r>
    </w:p>
    <w:p>
      <w:pPr>
        <w:spacing w:after="80" w:line="324" w:lineRule="auto"/>
        <w:ind w:left="360" w:hanging="360"/>
      </w:pPr>
      <w:r>
        <w:rPr>
          <w:rFonts w:ascii="Malgun Gothic" w:hAnsi="Malgun Gothic" w:eastAsia="Malgun Gothic"/>
          <w:b w:val="0"/>
          <w:i w:val="0"/>
          <w:color w:val="222222"/>
          <w:sz w:val="19"/>
        </w:rPr>
        <w:t>1. 기획재정부. (2024). 「공익법인회계기준」(기획재정부고시 제2024-13호).</w:t>
      </w:r>
    </w:p>
    <w:p>
      <w:pPr>
        <w:spacing w:after="80" w:line="324" w:lineRule="auto"/>
        <w:ind w:left="360" w:hanging="360"/>
      </w:pPr>
      <w:r>
        <w:rPr>
          <w:rFonts w:ascii="Malgun Gothic" w:hAnsi="Malgun Gothic" w:eastAsia="Malgun Gothic"/>
          <w:b w:val="0"/>
          <w:i w:val="0"/>
          <w:color w:val="222222"/>
          <w:sz w:val="19"/>
        </w:rPr>
        <w:t>2. 국가법령정보센터. (2026). 「민법」 제32조 및 공익법인 관련 법령.</w:t>
      </w:r>
    </w:p>
    <w:p>
      <w:pPr>
        <w:spacing w:after="80" w:line="324" w:lineRule="auto"/>
        <w:ind w:left="360" w:hanging="360"/>
      </w:pPr>
      <w:r>
        <w:rPr>
          <w:rFonts w:ascii="Malgun Gothic" w:hAnsi="Malgun Gothic" w:eastAsia="Malgun Gothic"/>
          <w:b w:val="0"/>
          <w:i w:val="0"/>
          <w:color w:val="222222"/>
          <w:sz w:val="19"/>
        </w:rPr>
        <w:t>3. 한국회계기준원. (2017). 「비영리조직회계기준」.</w:t>
      </w:r>
    </w:p>
    <w:p>
      <w:pPr>
        <w:spacing w:after="80" w:line="324" w:lineRule="auto"/>
        <w:ind w:left="360" w:hanging="360"/>
      </w:pPr>
      <w:r>
        <w:rPr>
          <w:rFonts w:ascii="Malgun Gothic" w:hAnsi="Malgun Gothic" w:eastAsia="Malgun Gothic"/>
          <w:b w:val="0"/>
          <w:i w:val="0"/>
          <w:color w:val="222222"/>
          <w:sz w:val="19"/>
        </w:rPr>
        <w:t>4. 행정안전부. (2026). 비영리민간단체 등록 및 공익활동 지원 관련 자료.</w:t>
      </w:r>
    </w:p>
    <w:p>
      <w:pPr>
        <w:spacing w:after="80" w:line="324" w:lineRule="auto"/>
        <w:ind w:left="360" w:hanging="360"/>
      </w:pPr>
      <w:r>
        <w:rPr>
          <w:rFonts w:ascii="Malgun Gothic" w:hAnsi="Malgun Gothic" w:eastAsia="Malgun Gothic"/>
          <w:b w:val="0"/>
          <w:i w:val="0"/>
          <w:color w:val="222222"/>
          <w:sz w:val="19"/>
        </w:rPr>
        <w:t>5. 국세청. (2026). 공익법인 결산서류 공시 및 세무안내.</w:t>
      </w:r>
    </w:p>
    <w:p>
      <w:pPr>
        <w:spacing w:after="80" w:line="324" w:lineRule="auto"/>
        <w:ind w:left="360" w:hanging="360"/>
      </w:pPr>
      <w:r>
        <w:rPr>
          <w:rFonts w:ascii="Malgun Gothic" w:hAnsi="Malgun Gothic" w:eastAsia="Malgun Gothic"/>
          <w:b w:val="0"/>
          <w:i w:val="0"/>
          <w:color w:val="222222"/>
          <w:sz w:val="19"/>
        </w:rPr>
        <w:t>6. 김형배. (2023). 『2023 비영리조직의 회계와 세무』. 서울: 영화조세통람.</w:t>
      </w:r>
    </w:p>
    <w:p>
      <w:pPr>
        <w:spacing w:after="80" w:line="324" w:lineRule="auto"/>
        <w:ind w:left="360" w:hanging="360"/>
      </w:pPr>
      <w:r>
        <w:rPr>
          <w:rFonts w:ascii="Malgun Gothic" w:hAnsi="Malgun Gothic" w:eastAsia="Malgun Gothic"/>
          <w:b w:val="0"/>
          <w:i w:val="0"/>
          <w:color w:val="222222"/>
          <w:sz w:val="19"/>
        </w:rPr>
        <w:t>7. Anthony, R. N., &amp; Young, D. W. (2003). Management Control in Nonprofit Organizations (7th ed.). McGraw-Hill/Irwin.</w:t>
      </w:r>
    </w:p>
    <w:p>
      <w:pPr>
        <w:spacing w:before="200" w:after="0"/>
        <w:jc w:val="right"/>
      </w:pPr>
      <w:r>
        <w:rPr>
          <w:rFonts w:ascii="Malgun Gothic" w:hAnsi="Malgun Gothic" w:eastAsia="Malgun Gothic"/>
          <w:b w:val="0"/>
          <w:i/>
          <w:color w:val="777777"/>
          <w:sz w:val="17"/>
        </w:rPr>
        <w:t>※ 본문은 위 자료를 참고하여 학습용으로 재구성하였다.</w:t>
      </w:r>
    </w:p>
    <w:p>
      <w:r>
        <w:br w:type="page"/>
      </w:r>
    </w:p>
    <w:p>
      <w:pPr>
        <w:spacing w:before="480" w:after="160"/>
        <w:jc w:val="center"/>
      </w:pPr>
      <w:r>
        <w:rPr>
          <w:rFonts w:ascii="Malgun Gothic" w:hAnsi="Malgun Gothic" w:eastAsia="Malgun Gothic"/>
          <w:b/>
          <w:i w:val="0"/>
          <w:color w:val="17365D"/>
          <w:sz w:val="44"/>
        </w:rPr>
        <w:t>과제 자료 이용 안내</w:t>
      </w:r>
    </w:p>
    <w:p>
      <w:pPr>
        <w:spacing w:after="520"/>
        <w:jc w:val="center"/>
      </w:pPr>
      <w:r>
        <w:rPr>
          <w:rFonts w:ascii="Malgun Gothic" w:hAnsi="Malgun Gothic" w:eastAsia="Malgun Gothic"/>
          <w:b w:val="0"/>
          <w:i w:val="0"/>
          <w:color w:val="666666"/>
          <w:sz w:val="22"/>
        </w:rPr>
        <w:t>제출 전 반드시 아래 내용을 확인해 주세요.</w:t>
      </w:r>
    </w:p>
    <w:tbl>
      <w:tblPr>
        <w:tblW w:type="auto" w:w="0"/>
        <w:jc w:val="center"/>
        <w:tblLayout w:type="fixed"/>
        <w:tblLook w:firstColumn="1" w:firstRow="1" w:lastColumn="0" w:lastRow="0" w:noHBand="0" w:noVBand="1" w:val="04A0"/>
      </w:tblPr>
      <w:tblGrid>
        <w:gridCol w:w="9576"/>
      </w:tblGrid>
      <w:tr>
        <w:tc>
          <w:tcPr>
            <w:tcW w:type="dxa" w:w="9792"/>
            <w:shd w:fill="FDECEC"/>
            <w:tcMar>
              <w:top w:w="260" w:type="dxa"/>
              <w:start w:w="300" w:type="dxa"/>
              <w:bottom w:w="260" w:type="dxa"/>
              <w:end w:w="300" w:type="dxa"/>
            </w:tcMar>
            <w:vAlign w:val="center"/>
            <w:tcBorders>
              <w:top w:val="single" w:sz="14" w:color="A61B1B"/>
              <w:left w:val="single" w:sz="14" w:color="A61B1B"/>
              <w:bottom w:val="single" w:sz="14" w:color="A61B1B"/>
              <w:right w:val="single" w:sz="14" w:color="A61B1B"/>
            </w:tcBorders>
          </w:tcPr>
          <w:p>
            <w:pPr>
              <w:spacing w:after="200"/>
              <w:jc w:val="left"/>
            </w:pPr>
            <w:r>
              <w:rPr>
                <w:rFonts w:ascii="Malgun Gothic" w:hAnsi="Malgun Gothic" w:eastAsia="Malgun Gothic"/>
                <w:b/>
                <w:i w:val="0"/>
                <w:color w:val="A61B1B"/>
                <w:sz w:val="30"/>
              </w:rPr>
              <w:t>⚠️ 주의사항</w:t>
            </w:r>
          </w:p>
          <w:p>
            <w:pPr>
              <w:spacing w:after="80" w:line="348" w:lineRule="auto"/>
            </w:pPr>
            <w:r>
              <w:rPr>
                <w:rFonts w:ascii="Malgun Gothic" w:hAnsi="Malgun Gothic" w:eastAsia="Malgun Gothic"/>
                <w:b w:val="0"/>
                <w:i w:val="0"/>
                <w:color w:val="222222"/>
                <w:sz w:val="22"/>
              </w:rPr>
              <w:t>본 자료는 학점은행제 과제 참고용 샘플입니다.</w:t>
            </w:r>
          </w:p>
          <w:p>
            <w:pPr>
              <w:spacing w:after="80" w:line="348" w:lineRule="auto"/>
            </w:pPr>
            <w:r>
              <w:rPr>
                <w:rFonts w:ascii="Malgun Gothic" w:hAnsi="Malgun Gothic" w:eastAsia="Malgun Gothic"/>
                <w:b w:val="0"/>
                <w:i w:val="0"/>
                <w:color w:val="222222"/>
                <w:sz w:val="22"/>
              </w:rPr>
              <w:t>위 학습 자료를 그대로 제출할 경우 모사율(표절률)로 인하여</w:t>
            </w:r>
          </w:p>
          <w:p>
            <w:pPr>
              <w:spacing w:after="80" w:line="348" w:lineRule="auto"/>
            </w:pPr>
            <w:r>
              <w:rPr>
                <w:rFonts w:ascii="Malgun Gothic" w:hAnsi="Malgun Gothic" w:eastAsia="Malgun Gothic"/>
                <w:b w:val="0"/>
                <w:i w:val="0"/>
                <w:color w:val="222222"/>
                <w:sz w:val="22"/>
              </w:rPr>
              <w:t>성적 불이익 또는 해당 과목 0점 처리될 수 있습니다.</w:t>
            </w:r>
          </w:p>
          <w:p>
            <w:pPr>
              <w:spacing w:after="80" w:line="348" w:lineRule="auto"/>
            </w:pPr>
            <w:r>
              <w:rPr>
                <w:rFonts w:ascii="Malgun Gothic" w:hAnsi="Malgun Gothic" w:eastAsia="Malgun Gothic"/>
                <w:b/>
                <w:i w:val="0"/>
                <w:color w:val="222222"/>
                <w:sz w:val="22"/>
              </w:rPr>
              <w:t>반드시 본인의 언어로 수정·재작성하여 제출하시기 바랍니다.</w:t>
            </w:r>
          </w:p>
        </w:tc>
      </w:tr>
    </w:tbl>
    <w:p>
      <w:pPr>
        <w:spacing w:after="120"/>
      </w:pPr>
    </w:p>
    <w:tbl>
      <w:tblPr>
        <w:tblW w:type="auto" w:w="0"/>
        <w:jc w:val="center"/>
        <w:tblLayout w:type="fixed"/>
        <w:tblLook w:firstColumn="1" w:firstRow="1" w:lastColumn="0" w:lastRow="0" w:noHBand="0" w:noVBand="1" w:val="04A0"/>
      </w:tblPr>
      <w:tblGrid>
        <w:gridCol w:w="9576"/>
      </w:tblGrid>
      <w:tr>
        <w:tc>
          <w:tcPr>
            <w:tcW w:type="dxa" w:w="9792"/>
            <w:shd w:fill="EAF1F8"/>
            <w:tcMar>
              <w:top w:w="240" w:type="dxa"/>
              <w:start w:w="300" w:type="dxa"/>
              <w:bottom w:w="240" w:type="dxa"/>
              <w:end w:w="300" w:type="dxa"/>
            </w:tcMar>
            <w:tcBorders>
              <w:top w:val="single" w:sz="10" w:color="2F5597"/>
              <w:left w:val="single" w:sz="10" w:color="2F5597"/>
              <w:bottom w:val="single" w:sz="10" w:color="2F5597"/>
              <w:right w:val="single" w:sz="10" w:color="2F5597"/>
            </w:tcBorders>
          </w:tcPr>
          <w:p>
            <w:pPr>
              <w:spacing w:after="160"/>
            </w:pPr>
            <w:r>
              <w:rPr>
                <w:rFonts w:ascii="Malgun Gothic" w:hAnsi="Malgun Gothic" w:eastAsia="Malgun Gothic"/>
                <w:b/>
                <w:i w:val="0"/>
                <w:color w:val="2F5597"/>
                <w:sz w:val="28"/>
              </w:rPr>
              <w:t>📌 과제 수정이 어려우신가요?</w:t>
            </w:r>
          </w:p>
          <w:p>
            <w:pPr>
              <w:spacing w:after="80"/>
            </w:pPr>
            <w:r>
              <w:rPr>
                <w:rFonts w:ascii="Malgun Gothic" w:hAnsi="Malgun Gothic" w:eastAsia="Malgun Gothic"/>
                <w:b w:val="0"/>
                <w:i w:val="0"/>
                <w:color w:val="222222"/>
                <w:sz w:val="21"/>
              </w:rPr>
              <w:t>국민원격교육관리센터에서 1:1 과제 수정 도움을 드립니다.</w:t>
            </w:r>
          </w:p>
          <w:p>
            <w:pPr>
              <w:spacing w:after="80"/>
            </w:pPr>
            <w:r>
              <w:rPr>
                <w:rFonts w:ascii="Malgun Gothic" w:hAnsi="Malgun Gothic" w:eastAsia="Malgun Gothic"/>
                <w:b w:val="0"/>
                <w:i w:val="0"/>
                <w:color w:val="222222"/>
                <w:sz w:val="21"/>
              </w:rPr>
              <w:t>아래 연락처로 문의해 주세요.</w:t>
            </w:r>
          </w:p>
          <w:tbl>
            <w:tblPr>
              <w:tblW w:type="auto" w:w="0"/>
              <w:jc w:val="center"/>
              <w:tblLayout w:type="fixed"/>
              <w:tblLook w:firstColumn="1" w:firstRow="1" w:lastColumn="0" w:lastRow="0" w:noHBand="0" w:noVBand="1" w:val="04A0"/>
            </w:tblPr>
            <w:tblGrid>
              <w:gridCol w:w="2232"/>
              <w:gridCol w:w="5976"/>
            </w:tblGrid>
            <w:tr>
              <w:tc>
                <w:tcPr>
                  <w:tcW w:type="dxa" w:w="4896"/>
                  <w:shd w:fill="FFFFFF"/>
                  <w:tcMar>
                    <w:top w:w="90" w:type="dxa"/>
                    <w:start w:w="100" w:type="dxa"/>
                    <w:bottom w:w="90" w:type="dxa"/>
                    <w:end w:w="100" w:type="dxa"/>
                  </w:tcMar>
                </w:tcPr>
                <w:p>
                  <w:pPr>
                    <w:spacing w:after="0"/>
                  </w:pPr>
                  <w:r>
                    <w:rPr>
                      <w:rFonts w:ascii="Malgun Gothic" w:hAnsi="Malgun Gothic" w:eastAsia="Malgun Gothic"/>
                      <w:b/>
                      <w:i w:val="0"/>
                      <w:color w:val="17365D"/>
                      <w:sz w:val="20"/>
                    </w:rPr>
                    <w:t>📞 전화</w:t>
                  </w:r>
                </w:p>
              </w:tc>
              <w:tc>
                <w:tcPr>
                  <w:tcW w:type="dxa" w:w="4896"/>
                  <w:shd w:fill="FFFFFF"/>
                  <w:tcMar>
                    <w:top w:w="90" w:type="dxa"/>
                    <w:start w:w="100" w:type="dxa"/>
                    <w:bottom w:w="90" w:type="dxa"/>
                    <w:end w:w="100" w:type="dxa"/>
                  </w:tcMar>
                </w:tcPr>
                <w:p>
                  <w:pPr>
                    <w:spacing w:after="0"/>
                  </w:pPr>
                  <w:r>
                    <w:rPr>
                      <w:rFonts w:ascii="Malgun Gothic" w:hAnsi="Malgun Gothic" w:eastAsia="Malgun Gothic"/>
                      <w:b/>
                      <w:i w:val="0"/>
                      <w:color w:val="222222"/>
                      <w:sz w:val="20"/>
                    </w:rPr>
                    <w:t>050-7878-7044</w:t>
                  </w:r>
                </w:p>
              </w:tc>
            </w:tr>
            <w:tr>
              <w:tc>
                <w:tcPr>
                  <w:tcW w:type="dxa" w:w="4896"/>
                  <w:shd w:fill="FFFFFF"/>
                  <w:tcMar>
                    <w:top w:w="90" w:type="dxa"/>
                    <w:start w:w="100" w:type="dxa"/>
                    <w:bottom w:w="90" w:type="dxa"/>
                    <w:end w:w="100" w:type="dxa"/>
                  </w:tcMar>
                </w:tcPr>
                <w:p>
                  <w:pPr>
                    <w:spacing w:after="0"/>
                  </w:pPr>
                  <w:r>
                    <w:rPr>
                      <w:rFonts w:ascii="Malgun Gothic" w:hAnsi="Malgun Gothic" w:eastAsia="Malgun Gothic"/>
                      <w:b/>
                      <w:i w:val="0"/>
                      <w:color w:val="17365D"/>
                      <w:sz w:val="20"/>
                    </w:rPr>
                    <w:t>💬 카카오톡</w:t>
                  </w:r>
                </w:p>
              </w:tc>
              <w:tc>
                <w:tcPr>
                  <w:tcW w:type="dxa" w:w="4896"/>
                  <w:shd w:fill="FFFFFF"/>
                  <w:tcMar>
                    <w:top w:w="90" w:type="dxa"/>
                    <w:start w:w="100" w:type="dxa"/>
                    <w:bottom w:w="90" w:type="dxa"/>
                    <w:end w:w="100" w:type="dxa"/>
                  </w:tcMar>
                </w:tcPr>
                <w:p>
                  <w:pPr>
                    <w:spacing w:after="0"/>
                  </w:pPr>
                  <w:r>
                    <w:rPr>
                      <w:rFonts w:ascii="Malgun Gothic" w:hAnsi="Malgun Gothic" w:eastAsia="Malgun Gothic"/>
                      <w:b/>
                      <w:i w:val="0"/>
                      <w:color w:val="222222"/>
                      <w:sz w:val="20"/>
                    </w:rPr>
                    <w:t>@국민원격교육관리센터</w:t>
                  </w:r>
                </w:p>
              </w:tc>
            </w:tr>
            <w:tr>
              <w:tc>
                <w:tcPr>
                  <w:tcW w:type="dxa" w:w="4896"/>
                  <w:shd w:fill="FFFFFF"/>
                  <w:tcMar>
                    <w:top w:w="90" w:type="dxa"/>
                    <w:start w:w="100" w:type="dxa"/>
                    <w:bottom w:w="90" w:type="dxa"/>
                    <w:end w:w="100" w:type="dxa"/>
                  </w:tcMar>
                </w:tcPr>
                <w:p>
                  <w:pPr>
                    <w:spacing w:after="0"/>
                  </w:pPr>
                  <w:r>
                    <w:rPr>
                      <w:rFonts w:ascii="Malgun Gothic" w:hAnsi="Malgun Gothic" w:eastAsia="Malgun Gothic"/>
                      <w:b/>
                      <w:i w:val="0"/>
                      <w:color w:val="17365D"/>
                      <w:sz w:val="20"/>
                    </w:rPr>
                    <w:t>🕐 운영시간</w:t>
                  </w:r>
                </w:p>
              </w:tc>
              <w:tc>
                <w:tcPr>
                  <w:tcW w:type="dxa" w:w="4896"/>
                  <w:shd w:fill="FFFFFF"/>
                  <w:tcMar>
                    <w:top w:w="90" w:type="dxa"/>
                    <w:start w:w="100" w:type="dxa"/>
                    <w:bottom w:w="90" w:type="dxa"/>
                    <w:end w:w="100" w:type="dxa"/>
                  </w:tcMar>
                </w:tcPr>
                <w:p>
                  <w:pPr>
                    <w:spacing w:after="0"/>
                  </w:pPr>
                  <w:r>
                    <w:rPr>
                      <w:rFonts w:ascii="Malgun Gothic" w:hAnsi="Malgun Gothic" w:eastAsia="Malgun Gothic"/>
                      <w:b/>
                      <w:i w:val="0"/>
                      <w:color w:val="222222"/>
                      <w:sz w:val="20"/>
                    </w:rPr>
                    <w:t>평일 10:00–19:00</w:t>
                  </w:r>
                </w:p>
              </w:tc>
            </w:tr>
            <w:tr>
              <w:tc>
                <w:tcPr>
                  <w:tcW w:type="dxa" w:w="4896"/>
                  <w:shd w:fill="FFFFFF"/>
                  <w:tcMar>
                    <w:top w:w="90" w:type="dxa"/>
                    <w:start w:w="100" w:type="dxa"/>
                    <w:bottom w:w="90" w:type="dxa"/>
                    <w:end w:w="100" w:type="dxa"/>
                  </w:tcMar>
                </w:tcPr>
                <w:p>
                  <w:pPr>
                    <w:spacing w:after="0"/>
                  </w:pPr>
                  <w:r>
                    <w:rPr>
                      <w:rFonts w:ascii="Malgun Gothic" w:hAnsi="Malgun Gothic" w:eastAsia="Malgun Gothic"/>
                      <w:b/>
                      <w:i w:val="0"/>
                      <w:color w:val="17365D"/>
                      <w:sz w:val="20"/>
                    </w:rPr>
                    <w:t>🌐 웹사이트</w:t>
                  </w:r>
                </w:p>
              </w:tc>
              <w:tc>
                <w:tcPr>
                  <w:tcW w:type="dxa" w:w="4896"/>
                  <w:shd w:fill="FFFFFF"/>
                  <w:tcMar>
                    <w:top w:w="90" w:type="dxa"/>
                    <w:start w:w="100" w:type="dxa"/>
                    <w:bottom w:w="90" w:type="dxa"/>
                    <w:end w:w="100" w:type="dxa"/>
                  </w:tcMar>
                </w:tcPr>
                <w:p>
                  <w:pPr>
                    <w:spacing w:after="0"/>
                  </w:pPr>
                  <w:r>
                    <w:rPr>
                      <w:rFonts w:ascii="Malgun Gothic" w:hAnsi="Malgun Gothic" w:eastAsia="Malgun Gothic"/>
                      <w:b/>
                      <w:i w:val="0"/>
                      <w:color w:val="222222"/>
                      <w:sz w:val="20"/>
                    </w:rPr>
                    <w:t>korealms.co.kr</w:t>
                  </w:r>
                </w:p>
              </w:tc>
            </w:tr>
          </w:tbl>
          <w:p/>
        </w:tc>
      </w:tr>
    </w:tbl>
    <w:p>
      <w:pPr>
        <w:spacing w:before="480"/>
        <w:jc w:val="center"/>
      </w:pPr>
      <w:r>
        <w:rPr>
          <w:rFonts w:ascii="Malgun Gothic" w:hAnsi="Malgun Gothic" w:eastAsia="Malgun Gothic"/>
          <w:b w:val="0"/>
          <w:i/>
          <w:color w:val="666666"/>
          <w:sz w:val="20"/>
        </w:rPr>
        <w:t>본 자료를 참고하여 자신의 경험과 의견을 추가하면</w:t>
        <w:br/>
        <w:t>더욱 완성도 높은 과제를 작성할 수 있습니다.</w:t>
      </w:r>
    </w:p>
    <w:sectPr w:rsidR="00FC693F" w:rsidRPr="0006063C" w:rsidSect="00034616">
      <w:headerReference w:type="default" r:id="rId9"/>
      <w:footerReference w:type="default" r:id="rId10"/>
      <w:pgSz w:w="12240" w:h="15840"/>
      <w:pgMar w:top="1123" w:right="1224" w:bottom="1037" w:left="1224" w:header="403" w:footer="43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eastAsia="Malgun Gothic"/>
        <w:b w:val="0"/>
        <w:i w:val="0"/>
        <w:color w:val="777777"/>
        <w:sz w:val="17"/>
      </w:rPr>
      <w:t xml:space="preserve">회계원리 과제 참고용 샘플  |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Malgun Gothic" w:hAnsi="Malgun Gothic" w:eastAsia="Malgun Gothic"/>
        <w:b/>
        <w:i w:val="0"/>
        <w:color w:val="8795A5"/>
        <w:sz w:val="16"/>
      </w:rPr>
      <w:t>ACCOUNTING PRINCIPLES · NONPROFIT ACCOUNTING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algun Gothic" w:hAnsi="Malgun Gothic" w:eastAsia="Malgun 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Malgun Gothic" w:hAnsi="Malgun Gothic" w:eastAsia="Malgun Gothic"/>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rFonts w:ascii="Malgun Gothic" w:hAnsi="Malgun Gothic" w:eastAsia="Malgun Gothic"/>
      <w:sz w:val="20"/>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비영리회계의 뜻과 필요한 회계정보 이용자</dc:title>
  <dc:subject>회계원리 학점은행제 과제 참고용 샘플</dc:subject>
  <dc:creator>국민원격교육관리센터</dc:creator>
  <cp:keywords>회계원리, 비영리회계, 비영리조직, 공익법인, 회계정보이용자</cp:keywords>
  <dc:description>generated by python-docx</dc:description>
  <cp:lastModifiedBy/>
  <cp:revision>1</cp:revision>
  <dcterms:created xsi:type="dcterms:W3CDTF">2013-12-23T23:15:00Z</dcterms:created>
  <dcterms:modified xsi:type="dcterms:W3CDTF">2013-12-23T23:15:00Z</dcterms:modified>
  <cp:category/>
</cp:coreProperties>
</file>