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440"/>
        <w:jc w:val="center"/>
        <w:widowControl w:val="1"/>
      </w:pPr>
      <w:r>
        <w:rPr>
          <w:rFonts w:ascii="Noto Sans CJK KR" w:hAnsi="Noto Sans CJK KR" w:eastAsia="Noto Sans CJK KR"/>
          <w:b/>
          <w:color w:val="1F4E79"/>
          <w:sz w:val="32"/>
        </w:rPr>
        <w:t>국 제 경 영 학</w:t>
      </w:r>
    </w:p>
    <w:p>
      <w:pPr>
        <w:spacing w:before="440" w:after="160"/>
        <w:jc w:val="center"/>
        <w:widowControl w:val="1"/>
      </w:pPr>
      <w:r>
        <w:rPr>
          <w:rFonts w:ascii="Noto Sans CJK KR" w:hAnsi="Noto Sans CJK KR" w:eastAsia="Noto Sans CJK KR"/>
          <w:b/>
          <w:color w:val="222222"/>
          <w:sz w:val="46"/>
        </w:rPr>
        <w:t>정치적 위험의 개념·원인·유형·관리와</w:t>
        <w:br/>
        <w:t>정치적 위험 및 국가위험의 비교</w:t>
      </w:r>
    </w:p>
    <w:p>
      <w:pPr>
        <w:spacing w:before="160"/>
        <w:jc w:val="center"/>
        <w:widowControl w:val="1"/>
      </w:pPr>
      <w:r>
        <w:rPr>
          <w:rFonts w:ascii="Noto Sans CJK KR" w:hAnsi="Noto Sans CJK KR" w:eastAsia="Noto Sans CJK KR"/>
          <w:color w:val="C65911"/>
          <w:sz w:val="23"/>
        </w:rPr>
        <w:t>과제 참고용 샘플</w:t>
      </w:r>
    </w:p>
    <w:p>
      <w:pPr>
        <w:jc w:val="center"/>
        <w:widowControl w:val="1"/>
      </w:pPr>
      <w:r>
        <w:rPr>
          <w:rFonts w:ascii="Noto Sans CJK KR" w:hAnsi="Noto Sans CJK KR" w:eastAsia="Noto Sans CJK KR"/>
          <w:color w:val="5B9BD5"/>
          <w:sz w:val="20"/>
        </w:rPr>
        <w:t>━━━━━━━━━━━━━━━━━━━━━━━━━━━━</w:t>
      </w:r>
    </w:p>
    <w:p>
      <w:pPr>
        <w:spacing w:before="440" w:after="160"/>
        <w:jc w:val="center"/>
        <w:widowControl w:val="1"/>
      </w:pPr>
      <w:r>
        <w:rPr>
          <w:rFonts w:ascii="Noto Sans CJK KR" w:hAnsi="Noto Sans CJK KR" w:eastAsia="Noto Sans CJK KR"/>
          <w:b/>
          <w:color w:val="1F4E79"/>
          <w:sz w:val="28"/>
        </w:rPr>
        <w:t>목  차</w:t>
      </w:r>
    </w:p>
    <w:p>
      <w:pPr>
        <w:tabs>
          <w:tab w:pos="7483" w:val="right" w:leader="dot"/>
        </w:tabs>
        <w:spacing w:after="60"/>
        <w:ind w:left="1587" w:right="1417"/>
        <w:widowControl w:val="1"/>
      </w:pPr>
      <w:r>
        <w:rPr>
          <w:rFonts w:ascii="Noto Sans CJK KR" w:hAnsi="Noto Sans CJK KR" w:eastAsia="Noto Sans CJK KR"/>
          <w:color w:val="222222"/>
          <w:sz w:val="21"/>
        </w:rPr>
        <w:t>Ⅰ. 서론</w:t>
        <w:tab/>
        <w:t>2</w:t>
      </w:r>
    </w:p>
    <w:p>
      <w:pPr>
        <w:tabs>
          <w:tab w:pos="7483" w:val="right" w:leader="dot"/>
        </w:tabs>
        <w:spacing w:after="60"/>
        <w:ind w:left="1587" w:right="1417"/>
        <w:widowControl w:val="1"/>
      </w:pPr>
      <w:r>
        <w:rPr>
          <w:rFonts w:ascii="Noto Sans CJK KR" w:hAnsi="Noto Sans CJK KR" w:eastAsia="Noto Sans CJK KR"/>
          <w:color w:val="222222"/>
          <w:sz w:val="21"/>
        </w:rPr>
        <w:t>Ⅱ. 본론</w:t>
        <w:tab/>
        <w:t>2</w:t>
      </w:r>
    </w:p>
    <w:p>
      <w:pPr>
        <w:tabs>
          <w:tab w:pos="7483" w:val="right" w:leader="dot"/>
        </w:tabs>
        <w:spacing w:after="60"/>
        <w:ind w:left="1587" w:right="1417"/>
        <w:widowControl w:val="1"/>
      </w:pPr>
      <w:r>
        <w:rPr>
          <w:rFonts w:ascii="Noto Sans CJK KR" w:hAnsi="Noto Sans CJK KR" w:eastAsia="Noto Sans CJK KR"/>
          <w:color w:val="222222"/>
          <w:sz w:val="21"/>
        </w:rPr>
        <w:t xml:space="preserve">  1. 정치적 위험의 개념</w:t>
        <w:tab/>
        <w:t>2</w:t>
      </w:r>
    </w:p>
    <w:p>
      <w:pPr>
        <w:tabs>
          <w:tab w:pos="7483" w:val="right" w:leader="dot"/>
        </w:tabs>
        <w:spacing w:after="60"/>
        <w:ind w:left="1587" w:right="1417"/>
        <w:widowControl w:val="1"/>
      </w:pPr>
      <w:r>
        <w:rPr>
          <w:rFonts w:ascii="Noto Sans CJK KR" w:hAnsi="Noto Sans CJK KR" w:eastAsia="Noto Sans CJK KR"/>
          <w:color w:val="222222"/>
          <w:sz w:val="21"/>
        </w:rPr>
        <w:t xml:space="preserve">  2. 정치적 위험의 발생 원인</w:t>
        <w:tab/>
        <w:t>3</w:t>
      </w:r>
    </w:p>
    <w:p>
      <w:pPr>
        <w:tabs>
          <w:tab w:pos="7483" w:val="right" w:leader="dot"/>
        </w:tabs>
        <w:spacing w:after="60"/>
        <w:ind w:left="1587" w:right="1417"/>
        <w:widowControl w:val="1"/>
      </w:pPr>
      <w:r>
        <w:rPr>
          <w:rFonts w:ascii="Noto Sans CJK KR" w:hAnsi="Noto Sans CJK KR" w:eastAsia="Noto Sans CJK KR"/>
          <w:color w:val="222222"/>
          <w:sz w:val="21"/>
        </w:rPr>
        <w:t xml:space="preserve">  3. 정치적 위험의 유형</w:t>
        <w:tab/>
        <w:t>4</w:t>
      </w:r>
    </w:p>
    <w:p>
      <w:pPr>
        <w:tabs>
          <w:tab w:pos="7483" w:val="right" w:leader="dot"/>
        </w:tabs>
        <w:spacing w:after="60"/>
        <w:ind w:left="1587" w:right="1417"/>
        <w:widowControl w:val="1"/>
      </w:pPr>
      <w:r>
        <w:rPr>
          <w:rFonts w:ascii="Noto Sans CJK KR" w:hAnsi="Noto Sans CJK KR" w:eastAsia="Noto Sans CJK KR"/>
          <w:color w:val="222222"/>
          <w:sz w:val="21"/>
        </w:rPr>
        <w:t xml:space="preserve">  4. 정치적 위험의 관리</w:t>
        <w:tab/>
        <w:t>5</w:t>
      </w:r>
    </w:p>
    <w:p>
      <w:pPr>
        <w:tabs>
          <w:tab w:pos="7483" w:val="right" w:leader="dot"/>
        </w:tabs>
        <w:spacing w:after="60"/>
        <w:ind w:left="1587" w:right="1417"/>
        <w:widowControl w:val="1"/>
      </w:pPr>
      <w:r>
        <w:rPr>
          <w:rFonts w:ascii="Noto Sans CJK KR" w:hAnsi="Noto Sans CJK KR" w:eastAsia="Noto Sans CJK KR"/>
          <w:color w:val="222222"/>
          <w:sz w:val="21"/>
        </w:rPr>
        <w:t xml:space="preserve">  5. 정치적 위험과 국가위험의 비교</w:t>
        <w:tab/>
        <w:t>6</w:t>
      </w:r>
    </w:p>
    <w:p>
      <w:pPr>
        <w:tabs>
          <w:tab w:pos="7483" w:val="right" w:leader="dot"/>
        </w:tabs>
        <w:spacing w:after="60"/>
        <w:ind w:left="1587" w:right="1417"/>
        <w:widowControl w:val="1"/>
      </w:pPr>
      <w:r>
        <w:rPr>
          <w:rFonts w:ascii="Noto Sans CJK KR" w:hAnsi="Noto Sans CJK KR" w:eastAsia="Noto Sans CJK KR"/>
          <w:color w:val="222222"/>
          <w:sz w:val="21"/>
        </w:rPr>
        <w:t xml:space="preserve">  6. 사례를 통한 종합적 적용</w:t>
        <w:tab/>
        <w:t>8</w:t>
      </w:r>
    </w:p>
    <w:p>
      <w:pPr>
        <w:tabs>
          <w:tab w:pos="7483" w:val="right" w:leader="dot"/>
        </w:tabs>
        <w:spacing w:after="60"/>
        <w:ind w:left="1587" w:right="1417"/>
        <w:widowControl w:val="1"/>
      </w:pPr>
      <w:r>
        <w:rPr>
          <w:rFonts w:ascii="Noto Sans CJK KR" w:hAnsi="Noto Sans CJK KR" w:eastAsia="Noto Sans CJK KR"/>
          <w:color w:val="222222"/>
          <w:sz w:val="21"/>
        </w:rPr>
        <w:t>Ⅲ. 결론</w:t>
        <w:tab/>
        <w:t>8</w:t>
      </w:r>
    </w:p>
    <w:p>
      <w:pPr>
        <w:tabs>
          <w:tab w:pos="7483" w:val="right" w:leader="dot"/>
        </w:tabs>
        <w:spacing w:after="60"/>
        <w:ind w:left="1587" w:right="1417"/>
        <w:widowControl w:val="1"/>
      </w:pPr>
      <w:r>
        <w:rPr>
          <w:rFonts w:ascii="Noto Sans CJK KR" w:hAnsi="Noto Sans CJK KR" w:eastAsia="Noto Sans CJK KR"/>
          <w:color w:val="222222"/>
          <w:sz w:val="21"/>
        </w:rPr>
        <w:t>참고문헌</w:t>
        <w:tab/>
        <w:t>9</w:t>
      </w:r>
    </w:p>
    <w:p>
      <w:pPr>
        <w:spacing w:before="320"/>
        <w:jc w:val="center"/>
        <w:widowControl w:val="1"/>
      </w:pPr>
      <w:r>
        <w:rPr>
          <w:rFonts w:ascii="Noto Sans CJK KR" w:hAnsi="Noto Sans CJK KR" w:eastAsia="Noto Sans CJK KR"/>
          <w:color w:val="666666"/>
          <w:sz w:val="18"/>
        </w:rPr>
        <w:t>본 자료는 학습 및 과제 작성 방향 설정을 위한 참고용 문서입니다.</w:t>
      </w:r>
    </w:p>
    <w:p>
      <w:pPr>
        <w:widowControl w:val="1"/>
      </w:pPr>
      <w:r>
        <w:br w:type="page"/>
      </w:r>
    </w:p>
    <w:p>
      <w:pPr>
        <w:pStyle w:val="Heading1"/>
        <w:keepNext/>
        <w:spacing w:before="240" w:after="160"/>
        <w:widowControl w:val="1"/>
      </w:pPr>
      <w:r>
        <w:rPr>
          <w:rFonts w:ascii="Noto Sans CJK KR" w:hAnsi="Noto Sans CJK KR" w:eastAsia="Noto Sans CJK KR"/>
          <w:b/>
          <w:color w:val="1F4E79"/>
          <w:sz w:val="30"/>
        </w:rPr>
        <w:t>Ⅰ. 서론</w:t>
      </w:r>
    </w:p>
    <w:p>
      <w:pPr>
        <w:spacing w:after="120" w:line="372" w:lineRule="auto"/>
        <w:ind w:firstLine="210"/>
        <w:jc w:val="both"/>
        <w:widowControl w:val="1"/>
      </w:pPr>
      <w:r>
        <w:rPr>
          <w:rFonts w:ascii="Noto Sans CJK KR" w:hAnsi="Noto Sans CJK KR" w:eastAsia="Noto Sans CJK KR"/>
          <w:color w:val="222222"/>
          <w:sz w:val="21"/>
        </w:rPr>
        <w:t>기업의 국제화는 새로운 시장, 자원, 기술 및 비용우위를 확보할 수 있는 기회를 제공하지만, 동시에 국내 경영에서는 상대적으로 덜 경험하는 불확실성을 수반한다. 그중 정치적 위험은 현지 정부의 정책 변화, 정권 교체, 사회적 갈등, 국제분쟁 등 정치·제도적 요인이 해외사업의 자산, 현금흐름, 경영통제 또는 계약상 권리에 부정적인 영향을 미칠 가능성을 의미한다. 정치적 위험은 단순히 쿠데타나 전쟁과 같은 극단적 사건에만 한정되지 않는다. 세율 인상, 외국인 지분 제한, 인허가 취소, 현지조달 의무 강화, 송금 제한처럼 합법적 행정조치의 형태로도 나타날 수 있으며, 기업의 투자수익성과 사업 지속가능성을 장기간 훼손할 수 있다.</w:t>
      </w:r>
    </w:p>
    <w:p>
      <w:pPr>
        <w:spacing w:after="120" w:line="372" w:lineRule="auto"/>
        <w:ind w:firstLine="210"/>
        <w:jc w:val="both"/>
        <w:widowControl w:val="1"/>
      </w:pPr>
      <w:r>
        <w:rPr>
          <w:rFonts w:ascii="Noto Sans CJK KR" w:hAnsi="Noto Sans CJK KR" w:eastAsia="Noto Sans CJK KR"/>
          <w:color w:val="222222"/>
          <w:sz w:val="21"/>
        </w:rPr>
        <w:t>국가위험은 정치적 위험보다 넓은 범위의 개념이다. 특정 국가에서 거래하거나 투자할 때 발생할 수 있는 정치·경제·금융·사회·제도적 위험을 종합적으로 포괄하며, 국가 또는 민간 차주의 대외지급능력, 환율과 외환보유액, 경기침체, 금융시스템 불안, 자연재해 등도 포함한다. 따라서 해외투자를 검토하는 기업은 정치적 위험만을 별도로 관찰해서는 충분하지 않으며, 국가위험의 틀 안에서 정치적 요인과 경제·금융 요인의 상호작용을 분석해야 한다. 예컨대 정치적 갈등이 재정지출 확대와 자본유출을 초래하고, 이것이 다시 환율 급등과 외환통제로 연결될 수 있기 때문이다.</w:t>
      </w:r>
    </w:p>
    <w:p>
      <w:pPr>
        <w:spacing w:after="120" w:line="372" w:lineRule="auto"/>
        <w:ind w:firstLine="210"/>
        <w:jc w:val="both"/>
        <w:widowControl w:val="1"/>
      </w:pPr>
      <w:r>
        <w:rPr>
          <w:rFonts w:ascii="Noto Sans CJK KR" w:hAnsi="Noto Sans CJK KR" w:eastAsia="Noto Sans CJK KR"/>
          <w:color w:val="222222"/>
          <w:sz w:val="21"/>
        </w:rPr>
        <w:t>본 과제에서는 첫째, 정치적 위험의 개념을 국제경영 관점에서 정리하고, 둘째, 정치적 위험의 주요 발생 원인과 유형을 구분하며, 셋째, 기업이 활용할 수 있는 사전·사후 관리방안을 설명한다. 마지막으로 정치적 위험과 국가위험의 공통점 및 차이점을 분석하고, 가상의 해외투자 사례를 통해 두 위험을 통합적으로 평가하는 방법을 제시하고자 한다.</w:t>
      </w:r>
    </w:p>
    <w:p>
      <w:pPr>
        <w:pStyle w:val="Heading1"/>
        <w:keepNext/>
        <w:spacing w:before="240" w:after="160"/>
        <w:widowControl w:val="1"/>
      </w:pPr>
      <w:r>
        <w:rPr>
          <w:rFonts w:ascii="Noto Sans CJK KR" w:hAnsi="Noto Sans CJK KR" w:eastAsia="Noto Sans CJK KR"/>
          <w:b/>
          <w:color w:val="1F4E79"/>
          <w:sz w:val="30"/>
        </w:rPr>
        <w:t>Ⅱ. 본론</w:t>
      </w:r>
    </w:p>
    <w:p>
      <w:pPr>
        <w:pStyle w:val="Heading2"/>
        <w:keepNext/>
        <w:spacing w:before="180" w:after="100"/>
        <w:widowControl w:val="1"/>
      </w:pPr>
      <w:r>
        <w:rPr>
          <w:rFonts w:ascii="Noto Sans CJK KR" w:hAnsi="Noto Sans CJK KR" w:eastAsia="Noto Sans CJK KR"/>
          <w:b/>
          <w:color w:val="2F75B5"/>
          <w:sz w:val="24"/>
        </w:rPr>
        <w:t>1. 정치적 위험의 개념</w:t>
      </w:r>
    </w:p>
    <w:p>
      <w:pPr>
        <w:pStyle w:val="Heading3"/>
        <w:keepNext/>
        <w:spacing w:before="140" w:after="80"/>
        <w:widowControl w:val="1"/>
      </w:pPr>
      <w:r>
        <w:rPr>
          <w:rFonts w:ascii="Noto Sans CJK KR" w:hAnsi="Noto Sans CJK KR" w:eastAsia="Noto Sans CJK KR"/>
          <w:b/>
          <w:color w:val="222222"/>
          <w:sz w:val="21"/>
        </w:rPr>
        <w:t>1) 국제경영에서 정치적 위험의 의미</w:t>
      </w:r>
    </w:p>
    <w:p>
      <w:pPr>
        <w:spacing w:after="120" w:line="372" w:lineRule="auto"/>
        <w:ind w:firstLine="210"/>
        <w:jc w:val="both"/>
        <w:widowControl w:val="1"/>
      </w:pPr>
      <w:r>
        <w:rPr>
          <w:rFonts w:ascii="Noto Sans CJK KR" w:hAnsi="Noto Sans CJK KR" w:eastAsia="Noto Sans CJK KR"/>
          <w:color w:val="222222"/>
          <w:sz w:val="21"/>
        </w:rPr>
        <w:t>정치적 위험에 대한 정의는 학자와 기관에 따라 강조점이 다르지만, 공통적으로 정치적 사건이나 정부행위가 기업의 기대성과에 부정적 변동을 초래할 가능성을 가리킨다. Root(1972)는 국제기업의 경영환경에서 정치적 변화가 기업의 자산과 운영에 미치는 영향을 분석해야 한다고 보았으며, Fitzpatrick(1983)은 기존 문헌을 검토하면서 정치적 위험이 정치환경의 불연속성과 기업 성과의 불확실성을 연결하는 개념임을 지적하였다. 이러한 관점에서 정치적 위험은 ‘정치적으로 발생한 사건’ 자체가 아니라, 그 사건이 특정 기업의 투자수익, 현금회수, 소유권 또는 경영통제에 미치는 결과까지 포함한다.</w:t>
      </w:r>
    </w:p>
    <w:p>
      <w:pPr>
        <w:spacing w:after="120" w:line="372" w:lineRule="auto"/>
        <w:ind w:firstLine="210"/>
        <w:jc w:val="both"/>
        <w:widowControl w:val="1"/>
      </w:pPr>
      <w:r>
        <w:rPr>
          <w:rFonts w:ascii="Noto Sans CJK KR" w:hAnsi="Noto Sans CJK KR" w:eastAsia="Noto Sans CJK KR"/>
          <w:color w:val="222222"/>
          <w:sz w:val="21"/>
        </w:rPr>
        <w:t>세계은행그룹의 다자간투자보증기구(MIGA)는 정치적 위험보험의 대표적 보장대상으로 수용, 통화의 환전 불능 및 송금 제한, 정부의 계약위반, 전쟁과 내란 등을 제시한다. 이는 정치적 위험이 기업의 자산을 직접 박탈하는 경우뿐 아니라, 현지에서 벌어들인 이익을 본국으로 이전하지 못하게 하거나 정부가 약속한 계약조건을 이행하지 않는 상황까지 포괄한다는 점을 보여준다. 따라서 정치적 위험은 비상업적 위험(non-commercial risk)이라고도 불리지만, 실제 결과는 매출 감소, 비용 증가, 자산손상 및 자금회수 지연과 같은 상업적 손실로 나타난다.</w:t>
      </w:r>
    </w:p>
    <w:p>
      <w:pPr>
        <w:pStyle w:val="Heading3"/>
        <w:keepNext/>
        <w:spacing w:before="140" w:after="80"/>
        <w:widowControl w:val="1"/>
      </w:pPr>
      <w:r>
        <w:rPr>
          <w:rFonts w:ascii="Noto Sans CJK KR" w:hAnsi="Noto Sans CJK KR" w:eastAsia="Noto Sans CJK KR"/>
          <w:b/>
          <w:color w:val="222222"/>
          <w:sz w:val="21"/>
        </w:rPr>
        <w:t>2) 정치적 불확실성과 정치적 위험의 구별</w:t>
      </w:r>
    </w:p>
    <w:p>
      <w:pPr>
        <w:spacing w:after="120" w:line="372" w:lineRule="auto"/>
        <w:ind w:firstLine="210"/>
        <w:jc w:val="both"/>
        <w:widowControl w:val="1"/>
      </w:pPr>
      <w:r>
        <w:rPr>
          <w:rFonts w:ascii="Noto Sans CJK KR" w:hAnsi="Noto Sans CJK KR" w:eastAsia="Noto Sans CJK KR"/>
          <w:color w:val="222222"/>
          <w:sz w:val="21"/>
        </w:rPr>
        <w:t>정치적 불확실성은 미래의 정치적 사건과 정책 방향을 정확히 예측하기 어려운 상태를 의미한다. 반면 정치적 위험은 그러한 불확실성이 기업의 성과에 미칠 수 있는 손실의 가능성과 크기를 평가한 개념이다. 선거가 예정되어 있다는 사실은 불확실성이지만, 특정 후보가 당선될 경우 외국기업에 대한 세율이 인상되고 투자수익이 감소할 가능성을 추정한다면 정치적 위험 분석이 된다. 따라서 위험관리는 정치뉴스를 수집하는 데 그치지 않고, 사건의 발생 가능성, 기업에 대한 노출 정도, 예상 손실 및 대응 가능성을 체계적으로 연결해야 한다.</w:t>
      </w:r>
    </w:p>
    <w:p>
      <w:pPr>
        <w:pStyle w:val="Heading2"/>
        <w:keepNext/>
        <w:spacing w:before="180" w:after="100"/>
        <w:widowControl w:val="1"/>
      </w:pPr>
      <w:r>
        <w:rPr>
          <w:rFonts w:ascii="Noto Sans CJK KR" w:hAnsi="Noto Sans CJK KR" w:eastAsia="Noto Sans CJK KR"/>
          <w:b/>
          <w:color w:val="2F75B5"/>
          <w:sz w:val="24"/>
        </w:rPr>
        <w:t>2. 정치적 위험의 발생 원인</w:t>
      </w:r>
    </w:p>
    <w:p>
      <w:pPr>
        <w:pStyle w:val="Heading3"/>
        <w:keepNext/>
        <w:spacing w:before="140" w:after="80"/>
        <w:widowControl w:val="1"/>
      </w:pPr>
      <w:r>
        <w:rPr>
          <w:rFonts w:ascii="Noto Sans CJK KR" w:hAnsi="Noto Sans CJK KR" w:eastAsia="Noto Sans CJK KR"/>
          <w:b/>
          <w:color w:val="222222"/>
          <w:sz w:val="21"/>
        </w:rPr>
        <w:t>1) 정치·제도적 원인</w:t>
      </w:r>
    </w:p>
    <w:p>
      <w:pPr>
        <w:spacing w:after="120" w:line="372" w:lineRule="auto"/>
        <w:ind w:firstLine="210"/>
        <w:jc w:val="both"/>
        <w:widowControl w:val="1"/>
      </w:pPr>
      <w:r>
        <w:rPr>
          <w:rFonts w:ascii="Noto Sans CJK KR" w:hAnsi="Noto Sans CJK KR" w:eastAsia="Noto Sans CJK KR"/>
          <w:color w:val="222222"/>
          <w:sz w:val="21"/>
        </w:rPr>
        <w:t>첫째, 정권의 정당성과 정치체제의 안정성이 취약할 때 정치적 위험이 증가한다. 쿠데타, 권력승계 갈등, 선거 결과에 대한 불복, 의회와 행정부의 극심한 대립은 정책의 연속성을 약화시키고 행정기관의 의사결정을 불안정하게 만든다. 둘째, 법치주의와 재산권 보호가 미흡하면 정부가 기존 법률이나 계약을 자의적으로 해석할 가능성이 높아진다. 법원 독립성이 낮거나 행정소송이 장기간 지연되는 국가에서는 기업이 계약상 권리를 보유하고 있어도 실제 구제를 받기 어렵다. 셋째, 부패와 관료주의는 인허가, 통관, 세무조사 과정에서 예측하기 어려운 비용을 발생시키며, 정권이나 담당자의 교체에 따라 기존 승인사항이 번복될 위험을 높인다.</w:t>
      </w:r>
    </w:p>
    <w:p>
      <w:pPr>
        <w:pStyle w:val="Heading3"/>
        <w:keepNext/>
        <w:spacing w:before="140" w:after="80"/>
        <w:widowControl w:val="1"/>
      </w:pPr>
      <w:r>
        <w:rPr>
          <w:rFonts w:ascii="Noto Sans CJK KR" w:hAnsi="Noto Sans CJK KR" w:eastAsia="Noto Sans CJK KR"/>
          <w:b/>
          <w:color w:val="222222"/>
          <w:sz w:val="21"/>
        </w:rPr>
        <w:t>2) 경제·사회적 원인</w:t>
      </w:r>
    </w:p>
    <w:p>
      <w:pPr>
        <w:spacing w:after="120" w:line="372" w:lineRule="auto"/>
        <w:ind w:firstLine="210"/>
        <w:jc w:val="both"/>
        <w:widowControl w:val="1"/>
      </w:pPr>
      <w:r>
        <w:rPr>
          <w:rFonts w:ascii="Noto Sans CJK KR" w:hAnsi="Noto Sans CJK KR" w:eastAsia="Noto Sans CJK KR"/>
          <w:color w:val="222222"/>
          <w:sz w:val="21"/>
        </w:rPr>
        <w:t>경제위기와 사회적 불평등도 정치적 위험의 중요한 원인이다. 높은 실업률, 물가상승, 재정적자, 소득격차가 지속되면 정부는 대중의 불만을 완화하기 위해 가격통제, 임금인상 명령, 초과이윤세, 외국기업 규제와 같은 급격한 정책을 도입할 수 있다. 특히 자원가격이 급락하여 재정수입이 감소한 국가에서는 외국기업에 대한 로열티와 세율을 인상하거나, 전략산업을 국가 통제 아래 두려는 자원민족주의가 강화될 수 있다. 또한 종교·민족·지역 간 갈등, 대규모 시위, 노동쟁의는 생산과 물류를 중단시키고 사업장 안전을 위협한다.</w:t>
      </w:r>
    </w:p>
    <w:p>
      <w:pPr>
        <w:pStyle w:val="Heading3"/>
        <w:keepNext/>
        <w:spacing w:before="140" w:after="80"/>
        <w:widowControl w:val="1"/>
      </w:pPr>
      <w:r>
        <w:rPr>
          <w:rFonts w:ascii="Noto Sans CJK KR" w:hAnsi="Noto Sans CJK KR" w:eastAsia="Noto Sans CJK KR"/>
          <w:b/>
          <w:color w:val="222222"/>
          <w:sz w:val="21"/>
        </w:rPr>
        <w:t>3) 국제관계와 지정학적 원인</w:t>
      </w:r>
    </w:p>
    <w:p>
      <w:pPr>
        <w:spacing w:after="120" w:line="372" w:lineRule="auto"/>
        <w:ind w:firstLine="210"/>
        <w:jc w:val="both"/>
        <w:widowControl w:val="1"/>
      </w:pPr>
      <w:r>
        <w:rPr>
          <w:rFonts w:ascii="Noto Sans CJK KR" w:hAnsi="Noto Sans CJK KR" w:eastAsia="Noto Sans CJK KR"/>
          <w:color w:val="222222"/>
          <w:sz w:val="21"/>
        </w:rPr>
        <w:t>국가 간 군사적 긴장, 외교관계 악화, 경제제재, 무역분쟁 및 공급망 블록화는 기업의 해외사업에 직접적인 제약을 줄 수 있다. 국제제재는 특정 국가와의 금융거래, 기술수출, 선박운송 및 보험계약을 제한하며, 제재 대상이 아닌 기업도 거래은행의 위험회피로 인해 대금결제에 어려움을 겪을 수 있다. 또한 본국과 투자대상국의 외교관계가 악화되면 특정 국적의 기업이 비공식적 차별, 소비자 불매운동 또는 추가적인 행정심사를 받을 수 있다.</w:t>
      </w:r>
    </w:p>
    <w:p>
      <w:pPr>
        <w:pStyle w:val="Heading3"/>
        <w:keepNext/>
        <w:spacing w:before="140" w:after="80"/>
        <w:widowControl w:val="1"/>
      </w:pPr>
      <w:r>
        <w:rPr>
          <w:rFonts w:ascii="Noto Sans CJK KR" w:hAnsi="Noto Sans CJK KR" w:eastAsia="Noto Sans CJK KR"/>
          <w:b/>
          <w:color w:val="222222"/>
          <w:sz w:val="21"/>
        </w:rPr>
        <w:t>4) 기업·산업 특성에 따른 원인</w:t>
      </w:r>
    </w:p>
    <w:p>
      <w:pPr>
        <w:spacing w:after="120" w:line="372" w:lineRule="auto"/>
        <w:ind w:firstLine="210"/>
        <w:jc w:val="both"/>
        <w:widowControl w:val="1"/>
      </w:pPr>
      <w:r>
        <w:rPr>
          <w:rFonts w:ascii="Noto Sans CJK KR" w:hAnsi="Noto Sans CJK KR" w:eastAsia="Noto Sans CJK KR"/>
          <w:color w:val="222222"/>
          <w:sz w:val="21"/>
        </w:rPr>
        <w:t>정치적 위험은 동일한 국가에서도 기업과 산업에 따라 다르게 나타난다. 에너지, 광업, 통신, 금융, 방위산업처럼 국가안보와 공공성이 큰 산업은 정부 개입과 규제변화에 더 민감하다. 대규모 고정자산을 필요로 하고 투자회수기간이 긴 인프라 사업은 철수가 어렵기 때문에 정부와의 협상력이 약화될 수 있다. 반대로 현지 고용과 수출, 기술이전, 세수에 크게 기여하는 기업은 정부가 사업을 보호할 유인을 제공할 수 있다. 따라서 정치적 위험은 국가의 객관적 환경뿐 아니라 기업의 국적, 규모, 현지사회와의 관계, 투자방식 및 전략적 중요성에 의해 결정되는 상대적 개념이다.</w:t>
      </w:r>
    </w:p>
    <w:p>
      <w:pPr>
        <w:pStyle w:val="Heading2"/>
        <w:keepNext/>
        <w:spacing w:before="180" w:after="100"/>
        <w:widowControl w:val="1"/>
      </w:pPr>
      <w:r>
        <w:rPr>
          <w:rFonts w:ascii="Noto Sans CJK KR" w:hAnsi="Noto Sans CJK KR" w:eastAsia="Noto Sans CJK KR"/>
          <w:b/>
          <w:color w:val="2F75B5"/>
          <w:sz w:val="24"/>
        </w:rPr>
        <w:t>3. 정치적 위험의 유형</w:t>
      </w:r>
    </w:p>
    <w:p>
      <w:pPr>
        <w:pStyle w:val="Heading3"/>
        <w:keepNext/>
        <w:spacing w:before="140" w:after="80"/>
        <w:widowControl w:val="1"/>
      </w:pPr>
      <w:r>
        <w:rPr>
          <w:rFonts w:ascii="Noto Sans CJK KR" w:hAnsi="Noto Sans CJK KR" w:eastAsia="Noto Sans CJK KR"/>
          <w:b/>
          <w:color w:val="222222"/>
          <w:sz w:val="21"/>
        </w:rPr>
        <w:t>1) 거시적 위험과 미시적 위험</w:t>
      </w:r>
    </w:p>
    <w:p>
      <w:pPr>
        <w:spacing w:after="120" w:line="372" w:lineRule="auto"/>
        <w:ind w:firstLine="210"/>
        <w:jc w:val="both"/>
        <w:widowControl w:val="1"/>
      </w:pPr>
      <w:r>
        <w:rPr>
          <w:rFonts w:ascii="Noto Sans CJK KR" w:hAnsi="Noto Sans CJK KR" w:eastAsia="Noto Sans CJK KR"/>
          <w:color w:val="222222"/>
          <w:sz w:val="21"/>
        </w:rPr>
        <w:t>거시적 정치위험은 특정 국가에서 활동하는 대부분의 외국기업에 광범위하게 영향을 미치는 위험이다. 혁명, 내전, 전면적 외환통제, 대규모 국유화, 외국인 투자법의 전면 개정 등이 이에 해당한다. 미시적 정치위험은 특정 산업, 특정 기업 또는 특정 프로젝트를 선별적으로 대상으로 한다. 예를 들어 정부가 환경보호를 이유로 광업 허가만 제한하거나, 시장지배력이 큰 특정 외국계 플랫폼 기업에 별도의 규제를 부과하는 경우이다. 기업은 국가 전체의 안정성 평가와 함께 자사의 산업 및 프로젝트가 정치적으로 얼마나 노출되어 있는지 분석해야 한다.</w:t>
      </w:r>
    </w:p>
    <w:p>
      <w:pPr>
        <w:pStyle w:val="Heading3"/>
        <w:keepNext/>
        <w:spacing w:before="140" w:after="80"/>
        <w:widowControl w:val="1"/>
      </w:pPr>
      <w:r>
        <w:rPr>
          <w:rFonts w:ascii="Noto Sans CJK KR" w:hAnsi="Noto Sans CJK KR" w:eastAsia="Noto Sans CJK KR"/>
          <w:b/>
          <w:color w:val="222222"/>
          <w:sz w:val="21"/>
        </w:rPr>
        <w:t>2) 소유권 위험, 운영위험, 이전위험</w:t>
      </w:r>
    </w:p>
    <w:p>
      <w:pPr>
        <w:spacing w:after="120" w:line="372" w:lineRule="auto"/>
        <w:ind w:firstLine="210"/>
        <w:jc w:val="both"/>
        <w:widowControl w:val="1"/>
      </w:pPr>
      <w:r>
        <w:rPr>
          <w:rFonts w:ascii="Noto Sans CJK KR" w:hAnsi="Noto Sans CJK KR" w:eastAsia="Noto Sans CJK KR"/>
          <w:color w:val="222222"/>
          <w:sz w:val="21"/>
        </w:rPr>
        <w:t>소유권 위험은 기업의 지분, 토지, 설비 또는 기타 자산에 대한 권리가 박탈되거나 실질적으로 훼손되는 위험이다. 직접적인 국유화와 수용뿐 아니라, 과도한 세금·규제·가격통제를 통해 기업가치를 점진적으로 감소시키는 점진적 수용도 포함한다. 운영위험은 정부규제, 현지조달 의무, 고용규정, 인허가 취소, 파업과 시위 등으로 기업의 생산·판매·인사·조달 활동이 제한되는 위험이다. 이전위험은 현지통화를 외화로 환전하지 못하거나 배당금, 이자, 원금, 로열티를 국외로 송금하지 못하는 위험을 의미한다.</w:t>
      </w:r>
    </w:p>
    <w:p>
      <w:pPr>
        <w:pStyle w:val="Heading3"/>
        <w:keepNext/>
        <w:spacing w:before="140" w:after="80"/>
        <w:widowControl w:val="1"/>
      </w:pPr>
      <w:r>
        <w:rPr>
          <w:rFonts w:ascii="Noto Sans CJK KR" w:hAnsi="Noto Sans CJK KR" w:eastAsia="Noto Sans CJK KR"/>
          <w:b/>
          <w:color w:val="222222"/>
          <w:sz w:val="21"/>
        </w:rPr>
        <w:t>3) 국제기구의 보장범주에 따른 유형</w:t>
      </w:r>
    </w:p>
    <w:tbl>
      <w:tblPr>
        <w:tblStyle w:val="TableGrid"/>
        <w:tblW w:type="auto" w:w="0"/>
        <w:jc w:val="center"/>
        <w:tblLayout w:type="autofit"/>
        <w:tblLook w:firstColumn="1" w:firstRow="1" w:lastColumn="0" w:lastRow="0" w:noHBand="0" w:noVBand="1" w:val="04A0"/>
      </w:tblPr>
      <w:tblGrid>
        <w:gridCol w:w="2256"/>
        <w:gridCol w:w="2256"/>
        <w:gridCol w:w="2256"/>
        <w:gridCol w:w="2256"/>
      </w:tblGrid>
      <w:tr>
        <w:trPr>
          <w:tblHeader w:val="true"/>
        </w:trPr>
        <w:tc>
          <w:tcPr>
            <w:tcW w:type="dxa" w:w="2256"/>
            <w:shd w:fill="1F4E79"/>
            <w:tcMar>
              <w:top w:w="120" w:type="dxa"/>
              <w:start w:w="100" w:type="dxa"/>
              <w:bottom w:w="120" w:type="dxa"/>
              <w:end w:w="100" w:type="dxa"/>
            </w:tcMar>
            <w:vAlign w:val="center"/>
          </w:tcPr>
          <w:p>
            <w:pPr>
              <w:jc w:val="center"/>
            </w:pPr>
            <w:r>
              <w:rPr>
                <w:rFonts w:ascii="Noto Sans CJK KR" w:hAnsi="Noto Sans CJK KR" w:eastAsia="Noto Sans CJK KR"/>
                <w:b/>
                <w:color w:val="FFFFFF"/>
                <w:sz w:val="18"/>
              </w:rPr>
              <w:t>유형</w:t>
            </w:r>
          </w:p>
        </w:tc>
        <w:tc>
          <w:tcPr>
            <w:tcW w:type="dxa" w:w="2256"/>
            <w:shd w:fill="1F4E79"/>
            <w:tcMar>
              <w:top w:w="120" w:type="dxa"/>
              <w:start w:w="100" w:type="dxa"/>
              <w:bottom w:w="120" w:type="dxa"/>
              <w:end w:w="100" w:type="dxa"/>
            </w:tcMar>
            <w:vAlign w:val="center"/>
          </w:tcPr>
          <w:p>
            <w:pPr>
              <w:jc w:val="center"/>
            </w:pPr>
            <w:r>
              <w:rPr>
                <w:rFonts w:ascii="Noto Sans CJK KR" w:hAnsi="Noto Sans CJK KR" w:eastAsia="Noto Sans CJK KR"/>
                <w:b/>
                <w:color w:val="FFFFFF"/>
                <w:sz w:val="18"/>
              </w:rPr>
              <w:t>핵심 내용</w:t>
            </w:r>
          </w:p>
        </w:tc>
        <w:tc>
          <w:tcPr>
            <w:tcW w:type="dxa" w:w="2256"/>
            <w:shd w:fill="1F4E79"/>
            <w:tcMar>
              <w:top w:w="120" w:type="dxa"/>
              <w:start w:w="100" w:type="dxa"/>
              <w:bottom w:w="120" w:type="dxa"/>
              <w:end w:w="100" w:type="dxa"/>
            </w:tcMar>
            <w:vAlign w:val="center"/>
          </w:tcPr>
          <w:p>
            <w:pPr>
              <w:jc w:val="center"/>
            </w:pPr>
            <w:r>
              <w:rPr>
                <w:rFonts w:ascii="Noto Sans CJK KR" w:hAnsi="Noto Sans CJK KR" w:eastAsia="Noto Sans CJK KR"/>
                <w:b/>
                <w:color w:val="FFFFFF"/>
                <w:sz w:val="18"/>
              </w:rPr>
              <w:t>기업에 미치는 영향</w:t>
            </w:r>
          </w:p>
        </w:tc>
        <w:tc>
          <w:tcPr>
            <w:tcW w:type="dxa" w:w="2256"/>
            <w:shd w:fill="1F4E79"/>
            <w:tcMar>
              <w:top w:w="120" w:type="dxa"/>
              <w:start w:w="100" w:type="dxa"/>
              <w:bottom w:w="120" w:type="dxa"/>
              <w:end w:w="100" w:type="dxa"/>
            </w:tcMar>
            <w:vAlign w:val="center"/>
          </w:tcPr>
          <w:p>
            <w:pPr>
              <w:jc w:val="center"/>
            </w:pPr>
            <w:r>
              <w:rPr>
                <w:rFonts w:ascii="Noto Sans CJK KR" w:hAnsi="Noto Sans CJK KR" w:eastAsia="Noto Sans CJK KR"/>
                <w:b/>
                <w:color w:val="FFFFFF"/>
                <w:sz w:val="18"/>
              </w:rPr>
              <w:t>대표적 관리수단</w:t>
            </w:r>
          </w:p>
        </w:tc>
      </w:tr>
      <w:tr>
        <w:tc>
          <w:tcPr>
            <w:tcW w:type="dxa" w:w="2256"/>
            <w:tcMar>
              <w:top w:w="110" w:type="dxa"/>
              <w:start w:w="90" w:type="dxa"/>
              <w:bottom w:w="110" w:type="dxa"/>
              <w:end w:w="90" w:type="dxa"/>
            </w:tcMar>
            <w:vAlign w:val="center"/>
          </w:tcPr>
          <w:p>
            <w:pPr>
              <w:jc w:val="center"/>
            </w:pPr>
            <w:r>
              <w:rPr>
                <w:rFonts w:ascii="Noto Sans CJK KR" w:hAnsi="Noto Sans CJK KR" w:eastAsia="Noto Sans CJK KR"/>
                <w:b/>
                <w:color w:val="222222"/>
                <w:sz w:val="17"/>
              </w:rPr>
              <w:t>수용 및 국유화</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정부가 자산의 소유권 또는 실질적 통제권을 박탈</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투자자산 손상, 지분가치 상실, 철수비용 발생</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투자협정, 국제중재조항, 정치적 위험보험</w:t>
            </w:r>
          </w:p>
        </w:tc>
      </w:tr>
      <w:tr>
        <w:tc>
          <w:tcPr>
            <w:tcW w:type="dxa" w:w="2256"/>
            <w:tcMar>
              <w:top w:w="110" w:type="dxa"/>
              <w:start w:w="90" w:type="dxa"/>
              <w:bottom w:w="110" w:type="dxa"/>
              <w:end w:w="90" w:type="dxa"/>
            </w:tcMar>
            <w:vAlign w:val="center"/>
          </w:tcPr>
          <w:p>
            <w:pPr>
              <w:jc w:val="center"/>
            </w:pPr>
            <w:r>
              <w:rPr>
                <w:rFonts w:ascii="Noto Sans CJK KR" w:hAnsi="Noto Sans CJK KR" w:eastAsia="Noto Sans CJK KR"/>
                <w:b/>
                <w:color w:val="222222"/>
                <w:sz w:val="17"/>
              </w:rPr>
              <w:t>환전 불능·송금 제한</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현지통화의 외화 환전 또는 국외이전이 제한</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배당·이자·원금 회수 지연, 유동성 악화</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현지통화 매칭, 역외계좌, 보험 및 단계적 송금</w:t>
            </w:r>
          </w:p>
        </w:tc>
      </w:tr>
      <w:tr>
        <w:tc>
          <w:tcPr>
            <w:tcW w:type="dxa" w:w="2256"/>
            <w:tcMar>
              <w:top w:w="110" w:type="dxa"/>
              <w:start w:w="90" w:type="dxa"/>
              <w:bottom w:w="110" w:type="dxa"/>
              <w:end w:w="90" w:type="dxa"/>
            </w:tcMar>
            <w:vAlign w:val="center"/>
          </w:tcPr>
          <w:p>
            <w:pPr>
              <w:jc w:val="center"/>
            </w:pPr>
            <w:r>
              <w:rPr>
                <w:rFonts w:ascii="Noto Sans CJK KR" w:hAnsi="Noto Sans CJK KR" w:eastAsia="Noto Sans CJK KR"/>
                <w:b/>
                <w:color w:val="222222"/>
                <w:sz w:val="17"/>
              </w:rPr>
              <w:t>정부 계약위반</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정부 또는 공기업이 계약을 파기하거나 중재판정을 이행하지 않음</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프로젝트 수입 감소, 공사대금·판매대금 미회수</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안정화조항, 국제중재, 정부보증, 다자기관 참여</w:t>
            </w:r>
          </w:p>
        </w:tc>
      </w:tr>
      <w:tr>
        <w:tc>
          <w:tcPr>
            <w:tcW w:type="dxa" w:w="2256"/>
            <w:tcMar>
              <w:top w:w="110" w:type="dxa"/>
              <w:start w:w="90" w:type="dxa"/>
              <w:bottom w:w="110" w:type="dxa"/>
              <w:end w:w="90" w:type="dxa"/>
            </w:tcMar>
            <w:vAlign w:val="center"/>
          </w:tcPr>
          <w:p>
            <w:pPr>
              <w:jc w:val="center"/>
            </w:pPr>
            <w:r>
              <w:rPr>
                <w:rFonts w:ascii="Noto Sans CJK KR" w:hAnsi="Noto Sans CJK KR" w:eastAsia="Noto Sans CJK KR"/>
                <w:b/>
                <w:color w:val="222222"/>
                <w:sz w:val="17"/>
              </w:rPr>
              <w:t>전쟁·내란·정치적 폭력</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전쟁, 혁명, 테러, 폭동, 내전 등으로 자산·영업이 손상</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시설파괴, 생산중단, 직원안전 및 공급망 문제</w:t>
            </w:r>
          </w:p>
        </w:tc>
        <w:tc>
          <w:tcPr>
            <w:tcW w:type="dxa" w:w="2256"/>
            <w:tcMar>
              <w:top w:w="110" w:type="dxa"/>
              <w:start w:w="90" w:type="dxa"/>
              <w:bottom w:w="110" w:type="dxa"/>
              <w:end w:w="90" w:type="dxa"/>
            </w:tcMar>
            <w:vAlign w:val="center"/>
          </w:tcPr>
          <w:p>
            <w:pPr>
              <w:jc w:val="left"/>
            </w:pPr>
            <w:r>
              <w:rPr>
                <w:rFonts w:ascii="Noto Sans CJK KR" w:hAnsi="Noto Sans CJK KR" w:eastAsia="Noto Sans CJK KR"/>
                <w:b w:val="0"/>
                <w:color w:val="222222"/>
                <w:sz w:val="17"/>
              </w:rPr>
              <w:t>지역분산, 보안계획, 비상철수, 보험</w:t>
            </w:r>
          </w:p>
        </w:tc>
      </w:tr>
    </w:tbl>
    <w:p>
      <w:pPr>
        <w:spacing w:before="40" w:after="120"/>
        <w:jc w:val="center"/>
        <w:widowControl w:val="1"/>
      </w:pPr>
      <w:r>
        <w:rPr>
          <w:rFonts w:ascii="Noto Sans CJK KR" w:hAnsi="Noto Sans CJK KR" w:eastAsia="Noto Sans CJK KR"/>
          <w:color w:val="666666"/>
          <w:sz w:val="18"/>
        </w:rPr>
        <w:t>&lt;표 1&gt; 정치적 위험의 주요 유형과 관리수단</w:t>
      </w:r>
    </w:p>
    <w:p>
      <w:pPr>
        <w:spacing w:after="120" w:line="372" w:lineRule="auto"/>
        <w:ind w:firstLine="210"/>
        <w:jc w:val="both"/>
        <w:widowControl w:val="1"/>
      </w:pPr>
      <w:r>
        <w:rPr>
          <w:rFonts w:ascii="Noto Sans CJK KR" w:hAnsi="Noto Sans CJK KR" w:eastAsia="Noto Sans CJK KR"/>
          <w:color w:val="222222"/>
          <w:sz w:val="21"/>
        </w:rPr>
        <w:t>위 유형들은 독립적으로 발생하기보다 연쇄적으로 나타나는 경우가 많다. 정권불안과 자본유출이 외환보유액 감소로 이어지고, 정부가 환전 및 송금을 제한하면서 외국기업의 배당 회수가 어려워질 수 있다. 또는 사회적 갈등으로 인프라가 파괴되고 정부의 재정여력이 악화되어 정부계약의 대금지급이 지연될 수 있다. 따라서 기업은 개별 위험항목의 점수뿐 아니라 위험 간 인과관계와 전이경로를 분석해야 한다.</w:t>
      </w:r>
    </w:p>
    <w:p>
      <w:pPr>
        <w:pStyle w:val="Heading2"/>
        <w:keepNext/>
        <w:spacing w:before="180" w:after="100"/>
        <w:widowControl w:val="1"/>
      </w:pPr>
      <w:r>
        <w:rPr>
          <w:rFonts w:ascii="Noto Sans CJK KR" w:hAnsi="Noto Sans CJK KR" w:eastAsia="Noto Sans CJK KR"/>
          <w:b/>
          <w:color w:val="2F75B5"/>
          <w:sz w:val="24"/>
        </w:rPr>
        <w:t>4. 정치적 위험의 관리</w:t>
      </w:r>
    </w:p>
    <w:p>
      <w:pPr>
        <w:pStyle w:val="Heading3"/>
        <w:keepNext/>
        <w:spacing w:before="140" w:after="80"/>
        <w:widowControl w:val="1"/>
      </w:pPr>
      <w:r>
        <w:rPr>
          <w:rFonts w:ascii="Noto Sans CJK KR" w:hAnsi="Noto Sans CJK KR" w:eastAsia="Noto Sans CJK KR"/>
          <w:b/>
          <w:color w:val="222222"/>
          <w:sz w:val="21"/>
        </w:rPr>
        <w:t>1) 진출 전 분석과 조기경보체계 구축</w:t>
      </w:r>
    </w:p>
    <w:p>
      <w:pPr>
        <w:spacing w:after="120" w:line="372" w:lineRule="auto"/>
        <w:ind w:firstLine="210"/>
        <w:jc w:val="both"/>
        <w:widowControl w:val="1"/>
      </w:pPr>
      <w:r>
        <w:rPr>
          <w:rFonts w:ascii="Noto Sans CJK KR" w:hAnsi="Noto Sans CJK KR" w:eastAsia="Noto Sans CJK KR"/>
          <w:color w:val="222222"/>
          <w:sz w:val="21"/>
        </w:rPr>
        <w:t>정치적 위험관리는 투자계약 체결 이전부터 시작되어야 한다. 기업은 정치체제, 선거일정, 법치주의, 부패수준, 사회갈등, 정부재정, 외환사정, 대외관계 등을 정량·정성적으로 평가해야 한다. 국제기구와 신용평가기관의 국가자료를 활용하되, 국가점수를 그대로 받아들이기보다 산업별 규제와 자사 노출도를 추가로 분석해야 한다. 특히 선거, 예산안, 외환보유액 급감, 대규모 시위, 주요 법률개정, 외교제재 논의와 같은 선행지표를 정하고, 위험 수준별 대응계획을 마련할 필요가 있다.</w:t>
      </w:r>
    </w:p>
    <w:p>
      <w:pPr>
        <w:pStyle w:val="Heading3"/>
        <w:keepNext/>
        <w:spacing w:before="140" w:after="80"/>
        <w:widowControl w:val="1"/>
      </w:pPr>
      <w:r>
        <w:rPr>
          <w:rFonts w:ascii="Noto Sans CJK KR" w:hAnsi="Noto Sans CJK KR" w:eastAsia="Noto Sans CJK KR"/>
          <w:b/>
          <w:color w:val="222222"/>
          <w:sz w:val="21"/>
        </w:rPr>
        <w:t>2) 진입방식과 투자구조의 설계</w:t>
      </w:r>
    </w:p>
    <w:p>
      <w:pPr>
        <w:spacing w:after="120" w:line="372" w:lineRule="auto"/>
        <w:ind w:firstLine="210"/>
        <w:jc w:val="both"/>
        <w:widowControl w:val="1"/>
      </w:pPr>
      <w:r>
        <w:rPr>
          <w:rFonts w:ascii="Noto Sans CJK KR" w:hAnsi="Noto Sans CJK KR" w:eastAsia="Noto Sans CJK KR"/>
          <w:color w:val="222222"/>
          <w:sz w:val="21"/>
        </w:rPr>
        <w:t>위험이 높은 국가에서는 대규모 단독투자보다 수출, 라이선싱, 프랜차이징, 단계적 투자 또는 합작투자를 활용하여 초기 노출을 줄일 수 있다. 현지 파트너와의 합작은 정부·시장 정보와 네트워크를 확보하는 장점이 있지만, 파트너의 정치적 연계가 정권교체 후 오히려 위험이 될 수 있으므로 지배구조와 이해상충을 면밀히 검토해야 한다. 또한 여러 국가에 생산기지와 공급처를 분산하고, 핵심기술과 데이터의 이전범위를 제한하며, 한 국가에 과도하게 의존하지 않는 포트폴리오 전략이 중요하다.</w:t>
      </w:r>
    </w:p>
    <w:p>
      <w:pPr>
        <w:pStyle w:val="Heading3"/>
        <w:keepNext/>
        <w:spacing w:before="140" w:after="80"/>
        <w:widowControl w:val="1"/>
      </w:pPr>
      <w:r>
        <w:rPr>
          <w:rFonts w:ascii="Noto Sans CJK KR" w:hAnsi="Noto Sans CJK KR" w:eastAsia="Noto Sans CJK KR"/>
          <w:b/>
          <w:color w:val="222222"/>
          <w:sz w:val="21"/>
        </w:rPr>
        <w:t>3) 현지화와 이해관계자 관리</w:t>
      </w:r>
    </w:p>
    <w:p>
      <w:pPr>
        <w:spacing w:after="120" w:line="372" w:lineRule="auto"/>
        <w:ind w:firstLine="210"/>
        <w:jc w:val="both"/>
        <w:widowControl w:val="1"/>
      </w:pPr>
      <w:r>
        <w:rPr>
          <w:rFonts w:ascii="Noto Sans CJK KR" w:hAnsi="Noto Sans CJK KR" w:eastAsia="Noto Sans CJK KR"/>
          <w:color w:val="222222"/>
          <w:sz w:val="21"/>
        </w:rPr>
        <w:t>기업이 현지경제에 제공하는 가치를 높이면 정부가 일방적으로 불리한 조치를 취할 유인이 감소할 수 있다. 현지인 고용, 기술교육, 현지 공급업체 육성, 세금의 투명한 납부, 지역사회 투자와 환경·사회 기준 준수는 기업의 정당성을 강화한다. 그러나 현지화는 단순한 이미지 관리가 아니라 핵심 이해관계자와의 지속적 신뢰형성 과정이어야 한다. 중앙정부뿐 아니라 지방정부, 노동조합, 지역사회, 시민단체, 언론, 고객과의 관계를 관리하고, 특정 정치세력에 편향되어 있다는 인상을 피해야 한다.</w:t>
      </w:r>
    </w:p>
    <w:p>
      <w:pPr>
        <w:pStyle w:val="Heading3"/>
        <w:keepNext/>
        <w:spacing w:before="140" w:after="80"/>
        <w:widowControl w:val="1"/>
      </w:pPr>
      <w:r>
        <w:rPr>
          <w:rFonts w:ascii="Noto Sans CJK KR" w:hAnsi="Noto Sans CJK KR" w:eastAsia="Noto Sans CJK KR"/>
          <w:b/>
          <w:color w:val="222222"/>
          <w:sz w:val="21"/>
        </w:rPr>
        <w:t>4) 계약적·재무적 보호장치</w:t>
      </w:r>
    </w:p>
    <w:p>
      <w:pPr>
        <w:spacing w:after="120" w:line="372" w:lineRule="auto"/>
        <w:ind w:firstLine="210"/>
        <w:jc w:val="both"/>
        <w:widowControl w:val="1"/>
      </w:pPr>
      <w:r>
        <w:rPr>
          <w:rFonts w:ascii="Noto Sans CJK KR" w:hAnsi="Noto Sans CJK KR" w:eastAsia="Noto Sans CJK KR"/>
          <w:color w:val="222222"/>
          <w:sz w:val="21"/>
        </w:rPr>
        <w:t>장기 투자계약에는 법령 변경으로 경제적 균형이 훼손될 경우 조건을 재협상하는 안정화조항, 국제중재조항, 불가항력 조항, 계약해지 및 보상조항을 포함할 수 있다. 정부 또는 공기업이 상대방인 경우 지급보증, 에스크로계좌, 다자개발은행의 참여, 역외결제구조를 활용하면 계약이행 가능성을 높일 수 있다. 재무적으로는 현지통화 수입과 비용을 일치시키는 자연헤지, 프로젝트 파이낸싱, 복수 통화 계좌, 배당의 단계적 송금 등을 통해 이전위험과 환위험을 줄일 수 있다.</w:t>
      </w:r>
    </w:p>
    <w:p>
      <w:pPr>
        <w:pStyle w:val="Heading3"/>
        <w:keepNext/>
        <w:spacing w:before="140" w:after="80"/>
        <w:widowControl w:val="1"/>
      </w:pPr>
      <w:r>
        <w:rPr>
          <w:rFonts w:ascii="Noto Sans CJK KR" w:hAnsi="Noto Sans CJK KR" w:eastAsia="Noto Sans CJK KR"/>
          <w:b/>
          <w:color w:val="222222"/>
          <w:sz w:val="21"/>
        </w:rPr>
        <w:t>5) 정치적 위험보험과 국제적 보호</w:t>
      </w:r>
    </w:p>
    <w:p>
      <w:pPr>
        <w:spacing w:after="120" w:line="372" w:lineRule="auto"/>
        <w:ind w:firstLine="210"/>
        <w:jc w:val="both"/>
        <w:widowControl w:val="1"/>
      </w:pPr>
      <w:r>
        <w:rPr>
          <w:rFonts w:ascii="Noto Sans CJK KR" w:hAnsi="Noto Sans CJK KR" w:eastAsia="Noto Sans CJK KR"/>
          <w:color w:val="222222"/>
          <w:sz w:val="21"/>
        </w:rPr>
        <w:t>정치적 위험보험은 수용, 환전 불능과 송금 제한, 정부계약 위반, 전쟁과 내란 등으로 인한 손실을 보상하는 대표적 위험이전 수단이다. MIGA와 같은 다자기관, 각국의 수출신용기관, 민간보험사가 관련 상품을 제공한다. 보험은 손실을 완전히 제거하지는 못하지만, 투자회수 가능성과 금융조달 조건을 개선하고, 보험기관이 분쟁해결 과정에서 중재적 역할을 할 수 있다는 장점이 있다. 다만 보장범위, 면책사유, 대기기간, 자기부담금, 손실평가 방식이 상품마다 다르므로 계약조건을 면밀히 확인해야 한다.</w:t>
      </w:r>
    </w:p>
    <w:p>
      <w:pPr>
        <w:pStyle w:val="Heading3"/>
        <w:keepNext/>
        <w:spacing w:before="140" w:after="80"/>
        <w:widowControl w:val="1"/>
      </w:pPr>
      <w:r>
        <w:rPr>
          <w:rFonts w:ascii="Noto Sans CJK KR" w:hAnsi="Noto Sans CJK KR" w:eastAsia="Noto Sans CJK KR"/>
          <w:b/>
          <w:color w:val="222222"/>
          <w:sz w:val="21"/>
        </w:rPr>
        <w:t>6) 위기대응과 철수계획</w:t>
      </w:r>
    </w:p>
    <w:p>
      <w:pPr>
        <w:spacing w:after="120" w:line="372" w:lineRule="auto"/>
        <w:ind w:firstLine="210"/>
        <w:jc w:val="both"/>
        <w:widowControl w:val="1"/>
      </w:pPr>
      <w:r>
        <w:rPr>
          <w:rFonts w:ascii="Noto Sans CJK KR" w:hAnsi="Noto Sans CJK KR" w:eastAsia="Noto Sans CJK KR"/>
          <w:color w:val="222222"/>
          <w:sz w:val="21"/>
        </w:rPr>
        <w:t>정치적 사건이 발생한 이후에는 직원의 생명과 안전을 최우선으로 하면서 생산중단, 대체물류, 데이터보호, 현금확보, 이해관계자 커뮤니케이션을 동시에 관리해야 한다. 기업은 사전에 비상연락망, 철수기준, 의사결정 권한, 대체 공급처, 원격운영 체계를 마련하고 정기적으로 모의훈련을 실시해야 한다. 또한 위험수준이 임계치를 초과할 경우 일부 지분매각, 운영축소, 사업중단 또는 완전철수를 선택할 수 있도록 사전에 회수전략을 설정해야 한다. 정치적 위험관리의 목표는 모든 위험을 제거하는 것이 아니라, 감당 가능한 범위로 노출을 조정하고 위기 상황에서도 핵심 기능을 유지하는 데 있다.</w:t>
      </w:r>
    </w:p>
    <w:p>
      <w:pPr>
        <w:pStyle w:val="Heading2"/>
        <w:keepNext/>
        <w:spacing w:before="180" w:after="100"/>
        <w:widowControl w:val="1"/>
      </w:pPr>
      <w:r>
        <w:rPr>
          <w:rFonts w:ascii="Noto Sans CJK KR" w:hAnsi="Noto Sans CJK KR" w:eastAsia="Noto Sans CJK KR"/>
          <w:b/>
          <w:color w:val="2F75B5"/>
          <w:sz w:val="24"/>
        </w:rPr>
        <w:t>5. 정치적 위험과 국가위험의 비교</w:t>
      </w:r>
    </w:p>
    <w:p>
      <w:pPr>
        <w:pStyle w:val="Heading3"/>
        <w:keepNext/>
        <w:spacing w:before="140" w:after="80"/>
        <w:widowControl w:val="1"/>
      </w:pPr>
      <w:r>
        <w:rPr>
          <w:rFonts w:ascii="Noto Sans CJK KR" w:hAnsi="Noto Sans CJK KR" w:eastAsia="Noto Sans CJK KR"/>
          <w:b/>
          <w:color w:val="222222"/>
          <w:sz w:val="21"/>
        </w:rPr>
        <w:t>1) 국가위험의 개념</w:t>
      </w:r>
    </w:p>
    <w:p>
      <w:pPr>
        <w:spacing w:after="120" w:line="372" w:lineRule="auto"/>
        <w:ind w:firstLine="210"/>
        <w:jc w:val="both"/>
        <w:widowControl w:val="1"/>
      </w:pPr>
      <w:r>
        <w:rPr>
          <w:rFonts w:ascii="Noto Sans CJK KR" w:hAnsi="Noto Sans CJK KR" w:eastAsia="Noto Sans CJK KR"/>
          <w:color w:val="222222"/>
          <w:sz w:val="21"/>
        </w:rPr>
        <w:t>국가위험(country risk)은 특정 국가와 관련된 거래 또는 투자에서 기대한 수익이 실현되지 않거나 원리금이 상환되지 않을 가능성을 포괄적으로 평가하는 개념이다. 국가위험에는 정치적 위험뿐 아니라 경기침체, 인플레이션, 환율급변, 외환부족, 재정불안, 금융시스템 위기, 국가부도, 사회적 불안, 자연재해 등이 포함된다. OECD의 수출신용 국가위험 분류는 대외채무 상환불능 가능성을 중심으로 이전 및 환전위험, 전쟁·수용·혁명·사회적 혼란과 같은 불가항력 요인을 함께 고려한다. 이는 국가위험이 정치요인과 경제·금융요인을 결합하여 대외지급능력을 평가하는 개념임을 보여준다.</w:t>
      </w:r>
    </w:p>
    <w:tbl>
      <w:tblPr>
        <w:tblStyle w:val="TableGrid"/>
        <w:tblW w:type="auto" w:w="0"/>
        <w:jc w:val="center"/>
        <w:tblLayout w:type="autofit"/>
        <w:tblLook w:firstColumn="1" w:firstRow="1" w:lastColumn="0" w:lastRow="0" w:noHBand="0" w:noVBand="1" w:val="04A0"/>
      </w:tblPr>
      <w:tblGrid>
        <w:gridCol w:w="3009"/>
        <w:gridCol w:w="3009"/>
        <w:gridCol w:w="3009"/>
      </w:tblGrid>
      <w:tr>
        <w:trPr>
          <w:tblHeader w:val="true"/>
        </w:trPr>
        <w:tc>
          <w:tcPr>
            <w:tcW w:type="dxa" w:w="3009"/>
            <w:shd w:fill="1F4E79"/>
            <w:tcMar>
              <w:top w:w="120" w:type="dxa"/>
              <w:start w:w="100" w:type="dxa"/>
              <w:bottom w:w="120" w:type="dxa"/>
              <w:end w:w="100" w:type="dxa"/>
            </w:tcMar>
          </w:tcPr>
          <w:p>
            <w:pPr>
              <w:jc w:val="center"/>
            </w:pPr>
            <w:r>
              <w:rPr>
                <w:rFonts w:ascii="Noto Sans CJK KR" w:hAnsi="Noto Sans CJK KR" w:eastAsia="Noto Sans CJK KR"/>
                <w:b/>
                <w:color w:val="FFFFFF"/>
                <w:sz w:val="18"/>
              </w:rPr>
              <w:t>비교항목</w:t>
            </w:r>
          </w:p>
        </w:tc>
        <w:tc>
          <w:tcPr>
            <w:tcW w:type="dxa" w:w="3009"/>
            <w:shd w:fill="1F4E79"/>
            <w:tcMar>
              <w:top w:w="120" w:type="dxa"/>
              <w:start w:w="100" w:type="dxa"/>
              <w:bottom w:w="120" w:type="dxa"/>
              <w:end w:w="100" w:type="dxa"/>
            </w:tcMar>
          </w:tcPr>
          <w:p>
            <w:pPr>
              <w:jc w:val="center"/>
            </w:pPr>
            <w:r>
              <w:rPr>
                <w:rFonts w:ascii="Noto Sans CJK KR" w:hAnsi="Noto Sans CJK KR" w:eastAsia="Noto Sans CJK KR"/>
                <w:b/>
                <w:color w:val="FFFFFF"/>
                <w:sz w:val="18"/>
              </w:rPr>
              <w:t>정치적 위험</w:t>
            </w:r>
          </w:p>
        </w:tc>
        <w:tc>
          <w:tcPr>
            <w:tcW w:type="dxa" w:w="3009"/>
            <w:shd w:fill="1F4E79"/>
            <w:tcMar>
              <w:top w:w="120" w:type="dxa"/>
              <w:start w:w="100" w:type="dxa"/>
              <w:bottom w:w="120" w:type="dxa"/>
              <w:end w:w="100" w:type="dxa"/>
            </w:tcMar>
          </w:tcPr>
          <w:p>
            <w:pPr>
              <w:jc w:val="center"/>
            </w:pPr>
            <w:r>
              <w:rPr>
                <w:rFonts w:ascii="Noto Sans CJK KR" w:hAnsi="Noto Sans CJK KR" w:eastAsia="Noto Sans CJK KR"/>
                <w:b/>
                <w:color w:val="FFFFFF"/>
                <w:sz w:val="18"/>
              </w:rPr>
              <w:t>국가위험</w:t>
            </w:r>
          </w:p>
        </w:tc>
      </w:tr>
      <w:tr>
        <w:tc>
          <w:tcPr>
            <w:tcW w:type="dxa" w:w="3009"/>
            <w:tcMar>
              <w:top w:w="105" w:type="dxa"/>
              <w:start w:w="90" w:type="dxa"/>
              <w:bottom w:w="105" w:type="dxa"/>
              <w:end w:w="90" w:type="dxa"/>
            </w:tcMar>
            <w:shd w:fill="EEF5FA"/>
          </w:tcPr>
          <w:p>
            <w:pPr>
              <w:jc w:val="center"/>
            </w:pPr>
            <w:r>
              <w:rPr>
                <w:rFonts w:ascii="Noto Sans CJK KR" w:hAnsi="Noto Sans CJK KR" w:eastAsia="Noto Sans CJK KR"/>
                <w:b/>
                <w:color w:val="222222"/>
                <w:sz w:val="17"/>
              </w:rPr>
              <w:t>개념 범위</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정치·정부·사회적 사건이 기업에 미치는 비상업적 위험</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정치·경제·금융·사회·자연환경을 포함한 종합적 국가 관련 위험</w:t>
            </w:r>
          </w:p>
        </w:tc>
      </w:tr>
      <w:tr>
        <w:tc>
          <w:tcPr>
            <w:tcW w:type="dxa" w:w="3009"/>
            <w:tcMar>
              <w:top w:w="105" w:type="dxa"/>
              <w:start w:w="90" w:type="dxa"/>
              <w:bottom w:w="105" w:type="dxa"/>
              <w:end w:w="90" w:type="dxa"/>
            </w:tcMar>
            <w:shd w:fill="EEF5FA"/>
          </w:tcPr>
          <w:p>
            <w:pPr>
              <w:jc w:val="center"/>
            </w:pPr>
            <w:r>
              <w:rPr>
                <w:rFonts w:ascii="Noto Sans CJK KR" w:hAnsi="Noto Sans CJK KR" w:eastAsia="Noto Sans CJK KR"/>
                <w:b/>
                <w:color w:val="222222"/>
                <w:sz w:val="17"/>
              </w:rPr>
              <w:t>주요 원인</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정권교체, 정책변경, 수용, 규제, 전쟁, 시위, 제재</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정치요인 외에 성장률, 물가, 외채, 재정, 환율, 금융불안 등</w:t>
            </w:r>
          </w:p>
        </w:tc>
      </w:tr>
      <w:tr>
        <w:tc>
          <w:tcPr>
            <w:tcW w:type="dxa" w:w="3009"/>
            <w:tcMar>
              <w:top w:w="105" w:type="dxa"/>
              <w:start w:w="90" w:type="dxa"/>
              <w:bottom w:w="105" w:type="dxa"/>
              <w:end w:w="90" w:type="dxa"/>
            </w:tcMar>
            <w:shd w:fill="EEF5FA"/>
          </w:tcPr>
          <w:p>
            <w:pPr>
              <w:jc w:val="center"/>
            </w:pPr>
            <w:r>
              <w:rPr>
                <w:rFonts w:ascii="Noto Sans CJK KR" w:hAnsi="Noto Sans CJK KR" w:eastAsia="Noto Sans CJK KR"/>
                <w:b/>
                <w:color w:val="222222"/>
                <w:sz w:val="17"/>
              </w:rPr>
              <w:t>분석 단위</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국가뿐 아니라 산업·기업·프로젝트별로 차별적</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국가 전체의 지급능력과 거시환경을 중심으로 평가</w:t>
            </w:r>
          </w:p>
        </w:tc>
      </w:tr>
      <w:tr>
        <w:tc>
          <w:tcPr>
            <w:tcW w:type="dxa" w:w="3009"/>
            <w:tcMar>
              <w:top w:w="105" w:type="dxa"/>
              <w:start w:w="90" w:type="dxa"/>
              <w:bottom w:w="105" w:type="dxa"/>
              <w:end w:w="90" w:type="dxa"/>
            </w:tcMar>
            <w:shd w:fill="EEF5FA"/>
          </w:tcPr>
          <w:p>
            <w:pPr>
              <w:jc w:val="center"/>
            </w:pPr>
            <w:r>
              <w:rPr>
                <w:rFonts w:ascii="Noto Sans CJK KR" w:hAnsi="Noto Sans CJK KR" w:eastAsia="Noto Sans CJK KR"/>
                <w:b/>
                <w:color w:val="222222"/>
                <w:sz w:val="17"/>
              </w:rPr>
              <w:t>주요 손실</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소유권 상실, 영업중단, 송금제한, 계약불이행</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원리금 미회수, 환손실, 수요감소, 자산가격 하락, 유동성 위기</w:t>
            </w:r>
          </w:p>
        </w:tc>
      </w:tr>
      <w:tr>
        <w:tc>
          <w:tcPr>
            <w:tcW w:type="dxa" w:w="3009"/>
            <w:tcMar>
              <w:top w:w="105" w:type="dxa"/>
              <w:start w:w="90" w:type="dxa"/>
              <w:bottom w:w="105" w:type="dxa"/>
              <w:end w:w="90" w:type="dxa"/>
            </w:tcMar>
            <w:shd w:fill="EEF5FA"/>
          </w:tcPr>
          <w:p>
            <w:pPr>
              <w:jc w:val="center"/>
            </w:pPr>
            <w:r>
              <w:rPr>
                <w:rFonts w:ascii="Noto Sans CJK KR" w:hAnsi="Noto Sans CJK KR" w:eastAsia="Noto Sans CJK KR"/>
                <w:b/>
                <w:color w:val="222222"/>
                <w:sz w:val="17"/>
              </w:rPr>
              <w:t>평가 지표</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정치안정, 법치, 규제, 사회갈등, 정부태도, 지정학</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정치지표와 함께 GDP, 외채, 외환보유액, 재정·경상수지, 금융건전성</w:t>
            </w:r>
          </w:p>
        </w:tc>
      </w:tr>
      <w:tr>
        <w:tc>
          <w:tcPr>
            <w:tcW w:type="dxa" w:w="3009"/>
            <w:tcMar>
              <w:top w:w="105" w:type="dxa"/>
              <w:start w:w="90" w:type="dxa"/>
              <w:bottom w:w="105" w:type="dxa"/>
              <w:end w:w="90" w:type="dxa"/>
            </w:tcMar>
            <w:shd w:fill="EEF5FA"/>
          </w:tcPr>
          <w:p>
            <w:pPr>
              <w:jc w:val="center"/>
            </w:pPr>
            <w:r>
              <w:rPr>
                <w:rFonts w:ascii="Noto Sans CJK KR" w:hAnsi="Noto Sans CJK KR" w:eastAsia="Noto Sans CJK KR"/>
                <w:b/>
                <w:color w:val="222222"/>
                <w:sz w:val="17"/>
              </w:rPr>
              <w:t>관리 방법</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현지화, 계약보호, 정부관계, 보험, 비상철수</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국가·통화·거래처 분산, 신용한도, 헤지, 보험, 만기·결제조건 조정</w:t>
            </w:r>
          </w:p>
        </w:tc>
      </w:tr>
      <w:tr>
        <w:tc>
          <w:tcPr>
            <w:tcW w:type="dxa" w:w="3009"/>
            <w:tcMar>
              <w:top w:w="105" w:type="dxa"/>
              <w:start w:w="90" w:type="dxa"/>
              <w:bottom w:w="105" w:type="dxa"/>
              <w:end w:w="90" w:type="dxa"/>
            </w:tcMar>
            <w:shd w:fill="EEF5FA"/>
          </w:tcPr>
          <w:p>
            <w:pPr>
              <w:jc w:val="center"/>
            </w:pPr>
            <w:r>
              <w:rPr>
                <w:rFonts w:ascii="Noto Sans CJK KR" w:hAnsi="Noto Sans CJK KR" w:eastAsia="Noto Sans CJK KR"/>
                <w:b/>
                <w:color w:val="222222"/>
                <w:sz w:val="17"/>
              </w:rPr>
              <w:t>상호관계</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국가위험을 구성하는 핵심 하위요소</w:t>
            </w:r>
          </w:p>
        </w:tc>
        <w:tc>
          <w:tcPr>
            <w:tcW w:type="dxa" w:w="3009"/>
            <w:tcMar>
              <w:top w:w="105" w:type="dxa"/>
              <w:start w:w="90" w:type="dxa"/>
              <w:bottom w:w="105" w:type="dxa"/>
              <w:end w:w="90" w:type="dxa"/>
            </w:tcMar>
          </w:tcPr>
          <w:p>
            <w:pPr>
              <w:jc w:val="left"/>
            </w:pPr>
            <w:r>
              <w:rPr>
                <w:rFonts w:ascii="Noto Sans CJK KR" w:hAnsi="Noto Sans CJK KR" w:eastAsia="Noto Sans CJK KR"/>
                <w:b w:val="0"/>
                <w:color w:val="222222"/>
                <w:sz w:val="17"/>
              </w:rPr>
              <w:t>정치적 위험을 포함하는 상위개념</w:t>
            </w:r>
          </w:p>
        </w:tc>
      </w:tr>
    </w:tbl>
    <w:p>
      <w:pPr>
        <w:spacing w:before="40" w:after="120"/>
        <w:jc w:val="center"/>
        <w:widowControl w:val="1"/>
      </w:pPr>
      <w:r>
        <w:rPr>
          <w:rFonts w:ascii="Noto Sans CJK KR" w:hAnsi="Noto Sans CJK KR" w:eastAsia="Noto Sans CJK KR"/>
          <w:color w:val="666666"/>
          <w:sz w:val="18"/>
        </w:rPr>
        <w:t>&lt;표 2&gt; 정치적 위험과 국가위험의 비교</w:t>
      </w:r>
    </w:p>
    <w:p>
      <w:pPr>
        <w:pStyle w:val="Heading3"/>
        <w:keepNext/>
        <w:spacing w:before="140" w:after="80"/>
        <w:widowControl w:val="1"/>
      </w:pPr>
      <w:r>
        <w:rPr>
          <w:rFonts w:ascii="Noto Sans CJK KR" w:hAnsi="Noto Sans CJK KR" w:eastAsia="Noto Sans CJK KR"/>
          <w:b/>
          <w:color w:val="222222"/>
          <w:sz w:val="21"/>
        </w:rPr>
        <w:t>2) 공통점과 차이점</w:t>
      </w:r>
    </w:p>
    <w:p>
      <w:pPr>
        <w:spacing w:after="120" w:line="372" w:lineRule="auto"/>
        <w:ind w:firstLine="210"/>
        <w:jc w:val="both"/>
        <w:widowControl w:val="1"/>
      </w:pPr>
      <w:r>
        <w:rPr>
          <w:rFonts w:ascii="Noto Sans CJK KR" w:hAnsi="Noto Sans CJK KR" w:eastAsia="Noto Sans CJK KR"/>
          <w:color w:val="222222"/>
          <w:sz w:val="21"/>
        </w:rPr>
        <w:t>두 개념의 공통점은 모두 국경을 넘는 거래와 투자의 기대수익을 변화시키며, 완전한 예측이 어렵고 상호연계되어 있다는 점이다. 또한 정치적 사건과 경제적 결과를 분리하기 어렵기 때문에 정량지표와 정성판단을 함께 사용해야 한다. 예를 들어 정권교체 자체는 정치적 사건이지만, 정책 신뢰 하락으로 자본이 유출되고 환율과 금리가 급등하면 국가위험 전반이 악화된다.</w:t>
      </w:r>
    </w:p>
    <w:p>
      <w:pPr>
        <w:spacing w:after="120" w:line="372" w:lineRule="auto"/>
        <w:ind w:firstLine="210"/>
        <w:jc w:val="both"/>
        <w:widowControl w:val="1"/>
      </w:pPr>
      <w:r>
        <w:rPr>
          <w:rFonts w:ascii="Noto Sans CJK KR" w:hAnsi="Noto Sans CJK KR" w:eastAsia="Noto Sans CJK KR"/>
          <w:color w:val="222222"/>
          <w:sz w:val="21"/>
        </w:rPr>
        <w:t>차이점은 분석범위와 초점에 있다. 정치적 위험은 정부행위와 정치·사회적 사건이 특정 기업의 권리와 운영에 미치는 영향을 중심으로 한다. 따라서 같은 국가에서도 자원산업과 소비재산업의 위험이 다르고, 현지 고용과 공급망 기여도가 큰 기업은 상대적으로 낮은 위험을 가질 수 있다. 반면 국가위험은 국가 전체의 경제·금융·지급능력을 중심으로 하므로 은행, 수출기업, 채권투자자 등이 국가별 신용한도와 금리를 결정할 때 널리 활용한다. 요약하면 정치적 위험은 국가위험의 핵심 구성요소이지만, 국가위험 전체와 동일한 개념은 아니다.</w:t>
      </w:r>
    </w:p>
    <w:p>
      <w:pPr>
        <w:pStyle w:val="Heading2"/>
        <w:keepNext/>
        <w:spacing w:before="180" w:after="100"/>
        <w:widowControl w:val="1"/>
      </w:pPr>
      <w:r>
        <w:rPr>
          <w:rFonts w:ascii="Noto Sans CJK KR" w:hAnsi="Noto Sans CJK KR" w:eastAsia="Noto Sans CJK KR"/>
          <w:b/>
          <w:color w:val="2F75B5"/>
          <w:sz w:val="24"/>
        </w:rPr>
        <w:t>6. 사례를 통한 종합적 적용</w:t>
      </w:r>
    </w:p>
    <w:p>
      <w:pPr>
        <w:spacing w:after="120" w:line="372" w:lineRule="auto"/>
        <w:ind w:firstLine="210"/>
        <w:jc w:val="both"/>
        <w:widowControl w:val="1"/>
      </w:pPr>
      <w:r>
        <w:rPr>
          <w:rFonts w:ascii="Noto Sans CJK KR" w:hAnsi="Noto Sans CJK KR" w:eastAsia="Noto Sans CJK KR"/>
          <w:color w:val="222222"/>
          <w:sz w:val="21"/>
        </w:rPr>
        <w:t>한국의 중견 제조기업 A사가 신흥국 B에 전기부품 생산공장을 설립한다고 가정하자. B국은 최근 선거를 통해 새 정부가 출범하였으며, 정부는 고용확대와 산업고도화를 강조하고 있다. 그러나 외환보유액이 감소하고 물가가 상승하는 가운데, 야당과 노동조합은 외국기업의 세제혜택을 비판하고 있다. A사는 낮은 인건비와 성장하는 내수시장을 기회로 평가하지만, 투자금 회수기간이 10년 이상이고 설비의 이전이 어렵다.</w:t>
      </w:r>
    </w:p>
    <w:p>
      <w:pPr>
        <w:spacing w:after="120" w:line="372" w:lineRule="auto"/>
        <w:ind w:firstLine="210"/>
        <w:jc w:val="both"/>
        <w:widowControl w:val="1"/>
      </w:pPr>
      <w:r>
        <w:rPr>
          <w:rFonts w:ascii="Noto Sans CJK KR" w:hAnsi="Noto Sans CJK KR" w:eastAsia="Noto Sans CJK KR"/>
          <w:color w:val="222222"/>
          <w:sz w:val="21"/>
        </w:rPr>
        <w:t>정치적 위험 측면에서는 새 정부가 기존 투자협약을 재검토하거나 법인세·최저임금·현지조달 의무를 강화할 가능성, 노동쟁의로 생산이 중단될 가능성, 외국기업에 대한 부정적 여론이 확대될 가능성을 분석해야 한다. 또한 B국 정부가 외환통제를 실시할 경우 배당금과 로열티를 본국으로 송금하지 못할 수 있으므로 이전위험이 크다. A사는 단독투자 대신 신뢰할 수 있는 현지 파트너와 합작하되, 이사회 구성과 기술보호 조항을 명확히 하고, 국제중재조항과 법령변경 시 재협상 조항을 계약에 포함할 수 있다.</w:t>
      </w:r>
    </w:p>
    <w:p>
      <w:pPr>
        <w:spacing w:after="120" w:line="372" w:lineRule="auto"/>
        <w:ind w:firstLine="210"/>
        <w:jc w:val="both"/>
        <w:widowControl w:val="1"/>
      </w:pPr>
      <w:r>
        <w:rPr>
          <w:rFonts w:ascii="Noto Sans CJK KR" w:hAnsi="Noto Sans CJK KR" w:eastAsia="Noto Sans CJK KR"/>
          <w:color w:val="222222"/>
          <w:sz w:val="21"/>
        </w:rPr>
        <w:t>국가위험 측면에서는 B국의 성장률, 재정적자, 경상수지, 외채만기, 외환보유액, 환율변동성, 은행시스템 건전성을 함께 평가해야 한다. 외환보유액 감소와 물가상승은 단순한 환율위험을 넘어 정부가 송금제한과 가격통제를 도입할 가능성을 높이므로 정치적 위험과 연결된다. A사는 현지통화 매출과 현지통화 비용을 일치시키고, 일부 원자재를 복수 국가에서 조달하며, 투자단계를 나누어 정책의 안정성을 확인한 뒤 생산능력을 확대하는 방식으로 노출을 조정할 수 있다. 또한 정치적 위험보험 가입, 비상철수계획, 공급망 대체계획을 마련해야 한다.</w:t>
      </w:r>
    </w:p>
    <w:p>
      <w:pPr>
        <w:spacing w:after="120" w:line="372" w:lineRule="auto"/>
        <w:ind w:firstLine="210"/>
        <w:jc w:val="both"/>
        <w:widowControl w:val="1"/>
      </w:pPr>
      <w:r>
        <w:rPr>
          <w:rFonts w:ascii="Noto Sans CJK KR" w:hAnsi="Noto Sans CJK KR" w:eastAsia="Noto Sans CJK KR"/>
          <w:color w:val="222222"/>
          <w:sz w:val="21"/>
        </w:rPr>
        <w:t>이 사례는 정치적 위험과 국가위험을 분리하여 평가하되, 최종 의사결정에서는 두 위험의 상호작용을 통합해야 함을 보여준다. B국의 국가신용도가 일정 수준 유지되더라도 특정 산업에 대한 규제가 급변하면 A사의 정치적 위험은 높을 수 있다. 반대로 정부가 외국인투자를 적극 보호하더라도 거시경제 위기로 외환이 부족해지면 대금회수와 송금이 어려워질 수 있다. 따라서 기업은 국가 평균점수와 기업별 노출도를 결합한 맞춤형 위험지도를 작성해야 한다.</w:t>
      </w:r>
    </w:p>
    <w:p>
      <w:pPr>
        <w:pStyle w:val="Heading1"/>
        <w:keepNext/>
        <w:spacing w:before="240" w:after="160"/>
        <w:widowControl w:val="1"/>
      </w:pPr>
      <w:r>
        <w:rPr>
          <w:rFonts w:ascii="Noto Sans CJK KR" w:hAnsi="Noto Sans CJK KR" w:eastAsia="Noto Sans CJK KR"/>
          <w:b/>
          <w:color w:val="1F4E79"/>
          <w:sz w:val="30"/>
        </w:rPr>
        <w:t>Ⅲ. 결론</w:t>
      </w:r>
    </w:p>
    <w:p>
      <w:pPr>
        <w:spacing w:after="120" w:line="372" w:lineRule="auto"/>
        <w:ind w:firstLine="210"/>
        <w:jc w:val="both"/>
        <w:widowControl w:val="1"/>
      </w:pPr>
      <w:r>
        <w:rPr>
          <w:rFonts w:ascii="Noto Sans CJK KR" w:hAnsi="Noto Sans CJK KR" w:eastAsia="Noto Sans CJK KR"/>
          <w:color w:val="222222"/>
          <w:sz w:val="21"/>
        </w:rPr>
        <w:t>정치적 위험은 정부의 정책과 행위, 정치체제의 변화, 사회적 갈등 및 국제관계의 변동이 해외기업의 자산, 운영, 통제권과 현금흐름에 부정적 영향을 미칠 가능성이다. 주요 원인으로는 정권과 제도의 불안정, 법치주의와 재산권 보호의 취약성, 경제위기와 사회적 불평등, 지정학적 갈등, 기업과 산업의 정치적 민감성을 들 수 있다. 유형은 거시적·미시적 위험, 소유권·운영·이전위험으로 구분할 수 있으며, 실무적으로는 수용, 환전 불능과 송금 제한, 정부계약 위반, 전쟁과 내란이 핵심 범주가 된다.</w:t>
      </w:r>
    </w:p>
    <w:p>
      <w:pPr>
        <w:spacing w:after="120" w:line="372" w:lineRule="auto"/>
        <w:ind w:firstLine="210"/>
        <w:jc w:val="both"/>
        <w:widowControl w:val="1"/>
      </w:pPr>
      <w:r>
        <w:rPr>
          <w:rFonts w:ascii="Noto Sans CJK KR" w:hAnsi="Noto Sans CJK KR" w:eastAsia="Noto Sans CJK KR"/>
          <w:color w:val="222222"/>
          <w:sz w:val="21"/>
        </w:rPr>
        <w:t>정치적 위험의 관리는 단일한 수단으로 완성되지 않는다. 진출 전 정밀한 환경분석과 조기경보체계를 구축하고, 투자단계와 진입방식을 조정하며, 현지화와 이해관계자 관리를 통해 기업의 정당성을 높여야 한다. 동시에 안정화조항, 국제중재, 정부보증과 같은 계약적 장치, 통화·공급망·지역 분산과 같은 재무·운영적 장치, 정치적 위험보험과 비상철수계획을 결합해야 한다. 특히 정치적 위험을 보험에 전가했다고 해서 현지사회와 정부에 대한 책임이 사라지는 것은 아니므로, 준법경영과 사회적 책임은 장기적인 위험완화의 핵심 조건이다.</w:t>
      </w:r>
    </w:p>
    <w:p>
      <w:pPr>
        <w:spacing w:after="120" w:line="372" w:lineRule="auto"/>
        <w:ind w:firstLine="210"/>
        <w:jc w:val="both"/>
        <w:widowControl w:val="1"/>
      </w:pPr>
      <w:r>
        <w:rPr>
          <w:rFonts w:ascii="Noto Sans CJK KR" w:hAnsi="Noto Sans CJK KR" w:eastAsia="Noto Sans CJK KR"/>
          <w:color w:val="222222"/>
          <w:sz w:val="21"/>
        </w:rPr>
        <w:t>정치적 위험과 국가위험은 서로 밀접하지만 동일하지 않다. 정치적 위험은 국가위험의 주요 하위요소이며 정부와 정치·사회적 사건이 기업에 미치는 영향을 중심으로 한다. 국가위험은 여기에 거시경제, 금융, 외환, 국가신용, 사회 및 자연환경의 위험까지 포함하는 상위개념이다. 본인의 견해로는 국제기업이 국가신용등급이나 거시지표만을 근거로 투자결정을 내리는 것은 충분하지 않다. 동일한 국가에서도 산업의 전략적 중요성, 현지 고용기여도, 투자회수기간, 정부와 지역사회의 태도에 따라 정치적 위험이 크게 달라질 수 있기 때문이다. 따라서 기업은 국가수준의 위험평가와 기업·프로젝트 수준의 정치적 위험평가를 결합하고, 위험의 변화를 지속적으로 모니터링하는 동태적 관리체계를 구축해야 한다.</w:t>
      </w:r>
    </w:p>
    <w:p>
      <w:pPr>
        <w:pStyle w:val="Heading1"/>
        <w:keepNext/>
        <w:spacing w:before="240" w:after="160"/>
        <w:widowControl w:val="1"/>
      </w:pPr>
      <w:r>
        <w:rPr>
          <w:rFonts w:ascii="Noto Sans CJK KR" w:hAnsi="Noto Sans CJK KR" w:eastAsia="Noto Sans CJK KR"/>
          <w:b/>
          <w:color w:val="1F4E79"/>
          <w:sz w:val="30"/>
        </w:rPr>
        <w:t>참고문헌</w:t>
      </w:r>
    </w:p>
    <w:p>
      <w:pPr>
        <w:spacing w:line="293" w:lineRule="auto" w:after="50"/>
        <w:ind w:left="454" w:hanging="454"/>
        <w:widowControl w:val="1"/>
      </w:pPr>
      <w:r>
        <w:rPr>
          <w:rFonts w:ascii="Noto Sans CJK KR" w:hAnsi="Noto Sans CJK KR" w:eastAsia="Noto Sans CJK KR"/>
          <w:color w:val="222222"/>
          <w:sz w:val="17"/>
        </w:rPr>
        <w:t>Cavusgil, S. T., Knight, G., &amp; Riesenberger, J. R. (2020). International business: The new realities (5th ed.). Pearson.</w:t>
      </w:r>
    </w:p>
    <w:p>
      <w:pPr>
        <w:spacing w:line="293" w:lineRule="auto" w:after="50"/>
        <w:ind w:left="454" w:hanging="454"/>
        <w:widowControl w:val="1"/>
      </w:pPr>
      <w:r>
        <w:rPr>
          <w:rFonts w:ascii="Noto Sans CJK KR" w:hAnsi="Noto Sans CJK KR" w:eastAsia="Noto Sans CJK KR"/>
          <w:color w:val="222222"/>
          <w:sz w:val="17"/>
        </w:rPr>
        <w:t>Fitzpatrick, M. (1983). The definition and assessment of political risk in international business: A review of the literature. Academy of Management Review, 8(2), 249-254.</w:t>
      </w:r>
    </w:p>
    <w:p>
      <w:pPr>
        <w:spacing w:line="293" w:lineRule="auto" w:after="50"/>
        <w:ind w:left="454" w:hanging="454"/>
        <w:widowControl w:val="1"/>
      </w:pPr>
      <w:r>
        <w:rPr>
          <w:rFonts w:ascii="Noto Sans CJK KR" w:hAnsi="Noto Sans CJK KR" w:eastAsia="Noto Sans CJK KR"/>
          <w:color w:val="222222"/>
          <w:sz w:val="17"/>
        </w:rPr>
        <w:t>Howell, L. D., &amp; Chaddick, B. (1994). Models of political risk for foreign investment and trade: An assessment of three approaches. Columbia Journal of World Business, 29(3), 70-91.</w:t>
      </w:r>
    </w:p>
    <w:p>
      <w:pPr>
        <w:spacing w:line="293" w:lineRule="auto" w:after="50"/>
        <w:ind w:left="454" w:hanging="454"/>
        <w:widowControl w:val="1"/>
      </w:pPr>
      <w:r>
        <w:rPr>
          <w:rFonts w:ascii="Noto Sans CJK KR" w:hAnsi="Noto Sans CJK KR" w:eastAsia="Noto Sans CJK KR"/>
          <w:color w:val="222222"/>
          <w:sz w:val="17"/>
        </w:rPr>
        <w:t>Root, F. R. (1972). Analyzing political risks in international business. In A. Kapoor &amp; P. D. Grub (Eds.), The multinational enterprise in transition. Darwin Press.</w:t>
      </w:r>
    </w:p>
    <w:p>
      <w:pPr>
        <w:spacing w:line="293" w:lineRule="auto" w:after="50"/>
        <w:ind w:left="454" w:hanging="454"/>
        <w:widowControl w:val="1"/>
      </w:pPr>
      <w:r>
        <w:rPr>
          <w:rFonts w:ascii="Noto Sans CJK KR" w:hAnsi="Noto Sans CJK KR" w:eastAsia="Noto Sans CJK KR"/>
          <w:color w:val="222222"/>
          <w:sz w:val="17"/>
        </w:rPr>
        <w:t>Multilateral Investment Guarantee Agency. (2026). All guarantees: Political risk insurance products. World Bank Group. https://www.miga.org/all-guarantees</w:t>
      </w:r>
    </w:p>
    <w:p>
      <w:pPr>
        <w:spacing w:line="293" w:lineRule="auto" w:after="50"/>
        <w:ind w:left="454" w:hanging="454"/>
        <w:widowControl w:val="1"/>
      </w:pPr>
      <w:r>
        <w:rPr>
          <w:rFonts w:ascii="Noto Sans CJK KR" w:hAnsi="Noto Sans CJK KR" w:eastAsia="Noto Sans CJK KR"/>
          <w:color w:val="222222"/>
          <w:sz w:val="17"/>
        </w:rPr>
        <w:t>Multilateral Investment Guarantee Agency. (2026). MIGA investment guarantee guide. World Bank Group. https://www.miga.org/guide/miga-investment-guarantee-guide</w:t>
      </w:r>
    </w:p>
    <w:p>
      <w:pPr>
        <w:spacing w:line="293" w:lineRule="auto" w:after="50"/>
        <w:ind w:left="454" w:hanging="454"/>
        <w:widowControl w:val="1"/>
      </w:pPr>
      <w:r>
        <w:rPr>
          <w:rFonts w:ascii="Noto Sans CJK KR" w:hAnsi="Noto Sans CJK KR" w:eastAsia="Noto Sans CJK KR"/>
          <w:color w:val="222222"/>
          <w:sz w:val="17"/>
        </w:rPr>
        <w:t>Organisation for Economic Co-operation and Development. (2026). Participants’ country risk classification. https://www.oecd.org/en/topics/sub-issues/country-risk-classification.html</w:t>
      </w:r>
    </w:p>
    <w:p>
      <w:pPr>
        <w:spacing w:line="293" w:lineRule="auto" w:after="50"/>
        <w:ind w:left="454" w:hanging="454"/>
        <w:widowControl w:val="1"/>
      </w:pPr>
      <w:r>
        <w:rPr>
          <w:rFonts w:ascii="Noto Sans CJK KR" w:hAnsi="Noto Sans CJK KR" w:eastAsia="Noto Sans CJK KR"/>
          <w:color w:val="222222"/>
          <w:sz w:val="17"/>
        </w:rPr>
        <w:t>World Bank Group. (2019). Retention and expansion of foreign direct investment: Political risk and policy responses. World Bank.</w:t>
      </w:r>
    </w:p>
    <w:p>
      <w:pPr>
        <w:spacing w:line="293" w:lineRule="auto" w:after="50"/>
        <w:ind w:left="454" w:hanging="454"/>
        <w:widowControl w:val="1"/>
      </w:pPr>
      <w:r>
        <w:rPr>
          <w:rFonts w:ascii="Noto Sans CJK KR" w:hAnsi="Noto Sans CJK KR" w:eastAsia="Noto Sans CJK KR"/>
          <w:color w:val="222222"/>
          <w:sz w:val="17"/>
        </w:rPr>
        <w:t>World Bank Group. (2017). Global investment competitiveness report 2017/2018: Foreign investor perspectives and policy implications. World Bank.</w:t>
      </w:r>
    </w:p>
    <w:p>
      <w:pPr>
        <w:widowControl w:val="1"/>
      </w:pPr>
      <w:r>
        <w:br w:type="page"/>
      </w:r>
    </w:p>
    <w:p>
      <w:pPr>
        <w:spacing w:before="200" w:after="280"/>
        <w:jc w:val="center"/>
        <w:widowControl w:val="1"/>
      </w:pPr>
      <w:r>
        <w:rPr>
          <w:rFonts w:ascii="Noto Sans CJK KR" w:hAnsi="Noto Sans CJK KR" w:eastAsia="Noto Sans CJK KR"/>
          <w:b/>
          <w:color w:val="1F4E79"/>
          <w:sz w:val="38"/>
        </w:rPr>
        <w:t>과제 참고자료 이용 안내</w:t>
      </w:r>
    </w:p>
    <w:tbl>
      <w:tblPr>
        <w:tblStyle w:val="TableGrid"/>
        <w:tblW w:type="auto" w:w="0"/>
        <w:jc w:val="center"/>
        <w:tblLayout w:type="autofit"/>
        <w:tblLook w:firstColumn="1" w:firstRow="1" w:lastColumn="0" w:lastRow="0" w:noHBand="0" w:noVBand="1" w:val="04A0"/>
      </w:tblPr>
      <w:tblGrid>
        <w:gridCol w:w="9026"/>
      </w:tblGrid>
      <w:tr>
        <w:tc>
          <w:tcPr>
            <w:tcW w:type="dxa" w:w="9026"/>
            <w:shd w:fill="FFF2CC"/>
            <w:tcMar>
              <w:top w:w="260" w:type="dxa"/>
              <w:start w:w="260" w:type="dxa"/>
              <w:bottom w:w="260" w:type="dxa"/>
              <w:end w:w="260" w:type="dxa"/>
            </w:tcMar>
          </w:tcPr>
          <w:p>
            <w:pPr>
              <w:spacing w:after="200"/>
            </w:pPr>
            <w:r>
              <w:rPr>
                <w:rFonts w:ascii="Noto Sans CJK KR" w:hAnsi="Noto Sans CJK KR" w:eastAsia="Noto Sans CJK KR"/>
                <w:b/>
                <w:color w:val="9C6500"/>
                <w:sz w:val="28"/>
              </w:rPr>
              <w:t>⚠️ 주의사항</w:t>
            </w:r>
          </w:p>
          <w:p>
            <w:pPr>
              <w:spacing w:after="60"/>
              <w:jc w:val="center"/>
            </w:pPr>
            <w:r>
              <w:rPr>
                <w:rFonts w:ascii="Noto Sans CJK KR" w:hAnsi="Noto Sans CJK KR" w:eastAsia="Noto Sans CJK KR"/>
                <w:b w:val="0"/>
                <w:color w:val="222222"/>
                <w:sz w:val="23"/>
              </w:rPr>
              <w:t>본 자료는 학점은행제 과제 참고용 샘플입니다.</w:t>
            </w:r>
          </w:p>
          <w:p>
            <w:pPr>
              <w:spacing w:after="60"/>
              <w:jc w:val="center"/>
            </w:pPr>
            <w:r>
              <w:rPr>
                <w:rFonts w:ascii="Noto Sans CJK KR" w:hAnsi="Noto Sans CJK KR" w:eastAsia="Noto Sans CJK KR"/>
                <w:b w:val="0"/>
                <w:color w:val="222222"/>
                <w:sz w:val="23"/>
              </w:rPr>
              <w:t>위 학습 자료를 그대로 제출할 경우 모사율(표절률)로 인하여</w:t>
            </w:r>
          </w:p>
          <w:p>
            <w:pPr>
              <w:spacing w:after="60"/>
              <w:jc w:val="center"/>
            </w:pPr>
            <w:r>
              <w:rPr>
                <w:rFonts w:ascii="Noto Sans CJK KR" w:hAnsi="Noto Sans CJK KR" w:eastAsia="Noto Sans CJK KR"/>
                <w:b w:val="0"/>
                <w:color w:val="222222"/>
                <w:sz w:val="23"/>
              </w:rPr>
              <w:t>성적 불이익 또는 해당 과목 0점 처리될 수 있습니다.</w:t>
            </w:r>
          </w:p>
          <w:p>
            <w:pPr>
              <w:spacing w:after="60"/>
              <w:jc w:val="center"/>
            </w:pPr>
            <w:r>
              <w:rPr>
                <w:rFonts w:ascii="Noto Sans CJK KR" w:hAnsi="Noto Sans CJK KR" w:eastAsia="Noto Sans CJK KR"/>
                <w:b/>
                <w:color w:val="222222"/>
                <w:sz w:val="23"/>
              </w:rPr>
              <w:t>반드시 본인의 언어로 수정·재작성하여 제출하시기 바랍니다.</w:t>
            </w:r>
          </w:p>
        </w:tc>
      </w:tr>
    </w:tbl>
    <w:p>
      <w:pPr>
        <w:spacing w:before="400" w:after="140"/>
        <w:widowControl w:val="1"/>
      </w:pPr>
      <w:r>
        <w:rPr>
          <w:rFonts w:ascii="Noto Sans CJK KR" w:hAnsi="Noto Sans CJK KR" w:eastAsia="Noto Sans CJK KR"/>
          <w:b/>
          <w:color w:val="1F4E79"/>
          <w:sz w:val="28"/>
        </w:rPr>
        <w:t>📌 과제 수정이 어려우신가요?</w:t>
      </w:r>
    </w:p>
    <w:p>
      <w:pPr>
        <w:spacing w:line="360" w:lineRule="auto" w:after="240"/>
        <w:widowControl w:val="1"/>
      </w:pPr>
      <w:r>
        <w:rPr>
          <w:rFonts w:ascii="Noto Sans CJK KR" w:hAnsi="Noto Sans CJK KR" w:eastAsia="Noto Sans CJK KR"/>
          <w:color w:val="222222"/>
          <w:sz w:val="22"/>
        </w:rPr>
        <w:t>국민원격교육관리센터에서 1:1 과제 수정 도움을 드립니다.</w:t>
        <w:br/>
        <w:t>아래 연락처로 문의해 주세요.</w:t>
      </w:r>
    </w:p>
    <w:tbl>
      <w:tblPr>
        <w:tblStyle w:val="TableGrid"/>
        <w:tblW w:type="auto" w:w="0"/>
        <w:jc w:val="center"/>
        <w:tblLayout w:type="autofit"/>
        <w:tblLook w:firstColumn="1" w:firstRow="1" w:lastColumn="0" w:lastRow="0" w:noHBand="0" w:noVBand="1" w:val="04A0"/>
      </w:tblPr>
      <w:tblGrid>
        <w:gridCol w:w="4513"/>
        <w:gridCol w:w="4513"/>
      </w:tblGrid>
      <w:tr>
        <w:tc>
          <w:tcPr>
            <w:tcW w:type="dxa" w:w="4513"/>
            <w:tcMar>
              <w:top w:w="130" w:type="dxa"/>
              <w:start w:w="130" w:type="dxa"/>
              <w:bottom w:w="130" w:type="dxa"/>
              <w:end w:w="130" w:type="dxa"/>
            </w:tcMar>
            <w:shd w:fill="D9EAF7"/>
          </w:tcPr>
          <w:p>
            <w:pPr>
              <w:jc w:val="center"/>
            </w:pPr>
            <w:r>
              <w:rPr>
                <w:rFonts w:ascii="Noto Sans CJK KR" w:hAnsi="Noto Sans CJK KR" w:eastAsia="Noto Sans CJK KR"/>
                <w:b/>
                <w:color w:val="1F4E79"/>
                <w:sz w:val="22"/>
              </w:rPr>
              <w:t>📞 전화</w:t>
            </w:r>
          </w:p>
        </w:tc>
        <w:tc>
          <w:tcPr>
            <w:tcW w:type="dxa" w:w="4513"/>
            <w:tcMar>
              <w:top w:w="130" w:type="dxa"/>
              <w:start w:w="130" w:type="dxa"/>
              <w:bottom w:w="130" w:type="dxa"/>
              <w:end w:w="130" w:type="dxa"/>
            </w:tcMar>
          </w:tcPr>
          <w:p>
            <w:pPr>
              <w:jc w:val="left"/>
            </w:pPr>
            <w:r>
              <w:rPr>
                <w:rFonts w:ascii="Noto Sans CJK KR" w:hAnsi="Noto Sans CJK KR" w:eastAsia="Noto Sans CJK KR"/>
                <w:b w:val="0"/>
                <w:color w:val="222222"/>
                <w:sz w:val="22"/>
              </w:rPr>
              <w:t>050-7878-7044</w:t>
            </w:r>
          </w:p>
        </w:tc>
      </w:tr>
      <w:tr>
        <w:tc>
          <w:tcPr>
            <w:tcW w:type="dxa" w:w="4513"/>
            <w:tcMar>
              <w:top w:w="130" w:type="dxa"/>
              <w:start w:w="130" w:type="dxa"/>
              <w:bottom w:w="130" w:type="dxa"/>
              <w:end w:w="130" w:type="dxa"/>
            </w:tcMar>
            <w:shd w:fill="D9EAF7"/>
          </w:tcPr>
          <w:p>
            <w:pPr>
              <w:jc w:val="center"/>
            </w:pPr>
            <w:r>
              <w:rPr>
                <w:rFonts w:ascii="Noto Sans CJK KR" w:hAnsi="Noto Sans CJK KR" w:eastAsia="Noto Sans CJK KR"/>
                <w:b/>
                <w:color w:val="1F4E79"/>
                <w:sz w:val="22"/>
              </w:rPr>
              <w:t>💬 카카오톡</w:t>
            </w:r>
          </w:p>
        </w:tc>
        <w:tc>
          <w:tcPr>
            <w:tcW w:type="dxa" w:w="4513"/>
            <w:tcMar>
              <w:top w:w="130" w:type="dxa"/>
              <w:start w:w="130" w:type="dxa"/>
              <w:bottom w:w="130" w:type="dxa"/>
              <w:end w:w="130" w:type="dxa"/>
            </w:tcMar>
          </w:tcPr>
          <w:p>
            <w:pPr>
              <w:jc w:val="left"/>
            </w:pPr>
            <w:r>
              <w:rPr>
                <w:rFonts w:ascii="Noto Sans CJK KR" w:hAnsi="Noto Sans CJK KR" w:eastAsia="Noto Sans CJK KR"/>
                <w:b w:val="0"/>
                <w:color w:val="222222"/>
                <w:sz w:val="22"/>
              </w:rPr>
              <w:t>@국민원격교육관리센터</w:t>
            </w:r>
          </w:p>
        </w:tc>
      </w:tr>
      <w:tr>
        <w:tc>
          <w:tcPr>
            <w:tcW w:type="dxa" w:w="4513"/>
            <w:tcMar>
              <w:top w:w="130" w:type="dxa"/>
              <w:start w:w="130" w:type="dxa"/>
              <w:bottom w:w="130" w:type="dxa"/>
              <w:end w:w="130" w:type="dxa"/>
            </w:tcMar>
            <w:shd w:fill="D9EAF7"/>
          </w:tcPr>
          <w:p>
            <w:pPr>
              <w:jc w:val="center"/>
            </w:pPr>
            <w:r>
              <w:rPr>
                <w:rFonts w:ascii="Noto Sans CJK KR" w:hAnsi="Noto Sans CJK KR" w:eastAsia="Noto Sans CJK KR"/>
                <w:b/>
                <w:color w:val="1F4E79"/>
                <w:sz w:val="22"/>
              </w:rPr>
              <w:t>🕐 운영시간</w:t>
            </w:r>
          </w:p>
        </w:tc>
        <w:tc>
          <w:tcPr>
            <w:tcW w:type="dxa" w:w="4513"/>
            <w:tcMar>
              <w:top w:w="130" w:type="dxa"/>
              <w:start w:w="130" w:type="dxa"/>
              <w:bottom w:w="130" w:type="dxa"/>
              <w:end w:w="130" w:type="dxa"/>
            </w:tcMar>
          </w:tcPr>
          <w:p>
            <w:pPr>
              <w:jc w:val="left"/>
            </w:pPr>
            <w:r>
              <w:rPr>
                <w:rFonts w:ascii="Noto Sans CJK KR" w:hAnsi="Noto Sans CJK KR" w:eastAsia="Noto Sans CJK KR"/>
                <w:b w:val="0"/>
                <w:color w:val="222222"/>
                <w:sz w:val="22"/>
              </w:rPr>
              <w:t>평일 10:00–19:00</w:t>
            </w:r>
          </w:p>
        </w:tc>
      </w:tr>
      <w:tr>
        <w:tc>
          <w:tcPr>
            <w:tcW w:type="dxa" w:w="4513"/>
            <w:tcMar>
              <w:top w:w="130" w:type="dxa"/>
              <w:start w:w="130" w:type="dxa"/>
              <w:bottom w:w="130" w:type="dxa"/>
              <w:end w:w="130" w:type="dxa"/>
            </w:tcMar>
            <w:shd w:fill="D9EAF7"/>
          </w:tcPr>
          <w:p>
            <w:pPr>
              <w:jc w:val="center"/>
            </w:pPr>
            <w:r>
              <w:rPr>
                <w:rFonts w:ascii="Noto Sans CJK KR" w:hAnsi="Noto Sans CJK KR" w:eastAsia="Noto Sans CJK KR"/>
                <w:b/>
                <w:color w:val="1F4E79"/>
                <w:sz w:val="22"/>
              </w:rPr>
              <w:t>🌐 웹사이트</w:t>
            </w:r>
          </w:p>
        </w:tc>
        <w:tc>
          <w:tcPr>
            <w:tcW w:type="dxa" w:w="4513"/>
            <w:tcMar>
              <w:top w:w="130" w:type="dxa"/>
              <w:start w:w="130" w:type="dxa"/>
              <w:bottom w:w="130" w:type="dxa"/>
              <w:end w:w="130" w:type="dxa"/>
            </w:tcMar>
          </w:tcPr>
          <w:p>
            <w:pPr>
              <w:jc w:val="left"/>
            </w:pPr>
            <w:r>
              <w:rPr>
                <w:rFonts w:ascii="Noto Sans CJK KR" w:hAnsi="Noto Sans CJK KR" w:eastAsia="Noto Sans CJK KR"/>
                <w:b w:val="0"/>
                <w:color w:val="222222"/>
                <w:sz w:val="22"/>
              </w:rPr>
              <w:t>korealms.co.kr</w:t>
            </w:r>
          </w:p>
        </w:tc>
      </w:tr>
    </w:tbl>
    <w:p>
      <w:pPr>
        <w:spacing w:before="360"/>
        <w:jc w:val="center"/>
        <w:widowControl w:val="1"/>
      </w:pPr>
      <w:r>
        <w:rPr>
          <w:rFonts w:ascii="Noto Sans CJK KR" w:hAnsi="Noto Sans CJK KR" w:eastAsia="Noto Sans CJK KR"/>
          <w:b/>
          <w:color w:val="666666"/>
          <w:sz w:val="20"/>
        </w:rPr>
        <w:t>국민원격교육관리센터</w:t>
      </w:r>
    </w:p>
    <w:sectPr w:rsidR="00FC693F" w:rsidRPr="0006063C" w:rsidSect="00034616">
      <w:headerReference w:type="default" r:id="rId9"/>
      <w:footerReference w:type="default" r:id="rId10"/>
      <w:pgSz w:w="11906" w:h="16838"/>
      <w:pgMar w:top="1440" w:right="1440" w:bottom="1440" w:left="1440" w:header="567" w:footer="680" w:gutter="0"/>
      <w:cols w:space="720"/>
      <w:docGrid w:linePitch="36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eastAsia="Noto Sans CJK KR"/>
        <w:color w:val="666666"/>
        <w:sz w:val="18"/>
      </w:rP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Noto Sans CJK KR" w:hAnsi="Noto Sans CJK KR" w:eastAsia="Noto Sans CJK KR"/>
        <w:color w:val="7F7F7F"/>
        <w:sz w:val="17"/>
      </w:rPr>
      <w:t>국제경영학 과제 참고용 샘플</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ans CJK KR" w:hAnsi="Noto Sans CJK KR" w:eastAsia="Noto Sans CJK KR"/>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Noto Sans CJK KR" w:hAnsi="Noto Sans CJK KR" w:eastAsia="Noto Sans CJK KR"/>
    </w:rPr>
  </w:style>
  <w:style w:type="paragraph" w:styleId="ListBullet2">
    <w:name w:val="List Bullet 2"/>
    <w:basedOn w:val="Normal"/>
    <w:uiPriority w:val="99"/>
    <w:unhideWhenUsed/>
    <w:rsid w:val="00326F90"/>
    <w:pPr>
      <w:numPr>
        <w:numId w:val="2"/>
      </w:numPr>
      <w:contextualSpacing/>
    </w:pPr>
    <w:rPr>
      <w:rFonts w:ascii="Noto Sans CJK KR" w:hAnsi="Noto Sans CJK KR" w:eastAsia="Noto Sans CJK KR"/>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rFonts w:ascii="Noto Sans CJK KR" w:hAnsi="Noto Sans CJK KR" w:eastAsia="Noto Sans CJK KR"/>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정치적 위험과 국가위험 비교</dc:title>
  <dc:subject>국제경영학 과제 참고용 샘플</dc:subject>
  <dc:creator>국민원격교육관리센터</dc:creator>
  <cp:keywords>국제경영학, 정치적 위험, 국가위험, 정치적 위험관리</cp:keywords>
  <dc:description>generated by python-docx</dc:description>
  <cp:lastModifiedBy/>
  <cp:revision>1</cp:revision>
  <dcterms:created xsi:type="dcterms:W3CDTF">2013-12-23T23:15:00Z</dcterms:created>
  <dcterms:modified xsi:type="dcterms:W3CDTF">2013-12-23T23:15:00Z</dcterms:modified>
  <cp:category/>
</cp:coreProperties>
</file>