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9632"/>
      </w:tblGrid>
      <w:tr>
        <w:trPr>
          <w:cantSplit/>
        </w:trPr>
        <w:tc>
          <w:tcPr>
            <w:tcW w:type="dxa" w:w="9632"/>
            <w:shd w:fill="173B5E"/>
            <w:tcMar>
              <w:top w:w="260" w:type="dxa"/>
              <w:start w:w="240" w:type="dxa"/>
              <w:bottom w:w="260" w:type="dxa"/>
              <w:end w:w="240" w:type="dxa"/>
            </w:tcMar>
          </w:tcPr>
          <w:p>
            <w:pPr>
              <w:ind w:firstLine="0"/>
              <w:jc w:val="center"/>
            </w:pPr>
            <w:r>
              <w:rPr>
                <w:rFonts w:ascii="맑은 고딕" w:hAnsi="맑은 고딕" w:eastAsia="맑은 고딕"/>
                <w:b/>
                <w:color w:val="FFFFFF"/>
                <w:sz w:val="22"/>
              </w:rPr>
              <w:t>학점은행제 과제 참고용 샘플</w:t>
            </w:r>
          </w:p>
        </w:tc>
      </w:tr>
    </w:tbl>
    <w:p>
      <w:pPr>
        <w:spacing w:after="200"/>
      </w:pPr>
    </w:p>
    <w:p>
      <w:pPr>
        <w:spacing w:before="480" w:after="160"/>
        <w:ind w:firstLine="0"/>
        <w:jc w:val="center"/>
      </w:pPr>
      <w:r>
        <w:rPr>
          <w:rFonts w:ascii="맑은 고딕" w:hAnsi="맑은 고딕" w:eastAsia="맑은 고딕"/>
          <w:b/>
          <w:color w:val="265680"/>
          <w:sz w:val="36"/>
        </w:rPr>
        <w:t>재 무 관 리</w:t>
      </w:r>
    </w:p>
    <w:p>
      <w:pPr>
        <w:spacing w:before="360" w:after="240"/>
        <w:ind w:firstLine="0"/>
        <w:jc w:val="center"/>
      </w:pPr>
      <w:r>
        <w:rPr>
          <w:rFonts w:ascii="맑은 고딕" w:hAnsi="맑은 고딕" w:eastAsia="맑은 고딕"/>
          <w:b/>
          <w:color w:val="123658"/>
          <w:sz w:val="44"/>
        </w:rPr>
        <w:t>기업의 투자활동을 바탕으로 한 현금흐름 추정과</w:t>
        <w:br/>
        <w:t>NPV 및 IRR을 활용한 경제성 분석</w:t>
      </w:r>
    </w:p>
    <w:p>
      <w:pPr>
        <w:spacing w:after="480"/>
        <w:ind w:firstLine="0"/>
        <w:jc w:val="center"/>
      </w:pPr>
      <w:r>
        <w:rPr>
          <w:rFonts w:ascii="맑은 고딕" w:hAnsi="맑은 고딕" w:eastAsia="맑은 고딕"/>
          <w:color w:val="5F6973"/>
          <w:sz w:val="22"/>
        </w:rPr>
        <w:t>기업의 장기 투자안에 대한 재무적 타당성 평가</w:t>
      </w:r>
    </w:p>
    <w:tbl>
      <w:tblPr>
        <w:tblW w:type="auto" w:w="0"/>
        <w:jc w:val="center"/>
        <w:tblLook w:firstColumn="1" w:firstRow="1" w:lastColumn="0" w:lastRow="0" w:noHBand="0" w:noVBand="1" w:val="04A0"/>
      </w:tblPr>
      <w:tblGrid>
        <w:gridCol w:w="9632"/>
      </w:tblGrid>
      <w:tr>
        <w:trPr>
          <w:cantSplit/>
        </w:trPr>
        <w:tc>
          <w:tcPr>
            <w:tcW w:type="dxa" w:w="9632"/>
            <w:shd w:fill="F4F7FA"/>
            <w:tcMar>
              <w:top w:w="200" w:type="dxa"/>
              <w:start w:w="300" w:type="dxa"/>
              <w:bottom w:w="200" w:type="dxa"/>
              <w:end w:w="300" w:type="dxa"/>
            </w:tcMar>
            <w:tcBorders>
              <w:top w:val="single" w:sz="7" w:color="B8C8D6"/>
              <w:start w:val="single" w:sz="7" w:color="B8C8D6"/>
              <w:bottom w:val="single" w:sz="7" w:color="B8C8D6"/>
              <w:end w:val="single" w:sz="7" w:color="B8C8D6"/>
            </w:tcBorders>
          </w:tcPr>
          <w:p>
            <w:pPr>
              <w:spacing w:after="240"/>
              <w:ind w:firstLine="0"/>
              <w:jc w:val="center"/>
            </w:pPr>
            <w:r>
              <w:rPr>
                <w:rFonts w:ascii="맑은 고딕" w:hAnsi="맑은 고딕" w:eastAsia="맑은 고딕"/>
                <w:b/>
                <w:color w:val="123658"/>
                <w:sz w:val="26"/>
              </w:rPr>
              <w:t>목  차</w:t>
            </w:r>
          </w:p>
          <w:p>
            <w:pPr>
              <w:spacing w:after="60"/>
              <w:ind w:firstLine="0"/>
            </w:pPr>
            <w:r>
              <w:rPr>
                <w:rFonts w:ascii="맑은 고딕" w:hAnsi="맑은 고딕" w:eastAsia="맑은 고딕"/>
                <w:b/>
                <w:sz w:val="20"/>
              </w:rPr>
              <w:t>Ⅰ. 서론</w:t>
            </w:r>
          </w:p>
          <w:p>
            <w:pPr>
              <w:spacing w:after="60"/>
              <w:ind w:firstLine="0"/>
            </w:pPr>
            <w:r>
              <w:rPr>
                <w:rFonts w:ascii="맑은 고딕" w:hAnsi="맑은 고딕" w:eastAsia="맑은 고딕"/>
                <w:b/>
                <w:sz w:val="20"/>
              </w:rPr>
              <w:t>Ⅱ. 본론</w:t>
            </w:r>
          </w:p>
          <w:p>
            <w:pPr>
              <w:spacing w:after="60"/>
              <w:ind w:firstLine="0"/>
            </w:pPr>
            <w:r>
              <w:rPr>
                <w:rFonts w:ascii="맑은 고딕" w:hAnsi="맑은 고딕" w:eastAsia="맑은 고딕"/>
                <w:b w:val="0"/>
                <w:sz w:val="20"/>
              </w:rPr>
              <w:t xml:space="preserve">   1. 기업 투자활동과 현금흐름의 개념</w:t>
            </w:r>
          </w:p>
          <w:p>
            <w:pPr>
              <w:spacing w:after="60"/>
              <w:ind w:firstLine="0"/>
            </w:pPr>
            <w:r>
              <w:rPr>
                <w:rFonts w:ascii="맑은 고딕" w:hAnsi="맑은 고딕" w:eastAsia="맑은 고딕"/>
                <w:b w:val="0"/>
                <w:sz w:val="20"/>
              </w:rPr>
              <w:t xml:space="preserve">   2. NPV와 IRR의 이론적 기준</w:t>
            </w:r>
          </w:p>
          <w:p>
            <w:pPr>
              <w:spacing w:after="60"/>
              <w:ind w:firstLine="0"/>
            </w:pPr>
            <w:r>
              <w:rPr>
                <w:rFonts w:ascii="맑은 고딕" w:hAnsi="맑은 고딕" w:eastAsia="맑은 고딕"/>
                <w:b w:val="0"/>
                <w:sz w:val="20"/>
              </w:rPr>
              <w:t xml:space="preserve">   3. 투자안의 현금흐름 추정</w:t>
            </w:r>
          </w:p>
          <w:p>
            <w:pPr>
              <w:spacing w:after="60"/>
              <w:ind w:firstLine="0"/>
            </w:pPr>
            <w:r>
              <w:rPr>
                <w:rFonts w:ascii="맑은 고딕" w:hAnsi="맑은 고딕" w:eastAsia="맑은 고딕"/>
                <w:b w:val="0"/>
                <w:sz w:val="20"/>
              </w:rPr>
              <w:t xml:space="preserve">   4. NPV 및 IRR 경제성 분석</w:t>
            </w:r>
          </w:p>
          <w:p>
            <w:pPr>
              <w:spacing w:after="60"/>
              <w:ind w:firstLine="0"/>
            </w:pPr>
            <w:r>
              <w:rPr>
                <w:rFonts w:ascii="맑은 고딕" w:hAnsi="맑은 고딕" w:eastAsia="맑은 고딕"/>
                <w:b w:val="0"/>
                <w:sz w:val="20"/>
              </w:rPr>
              <w:t xml:space="preserve">   5. 민감도 분석과 의사결정상 유의점</w:t>
            </w:r>
          </w:p>
          <w:p>
            <w:pPr>
              <w:spacing w:after="60"/>
              <w:ind w:firstLine="0"/>
            </w:pPr>
            <w:r>
              <w:rPr>
                <w:rFonts w:ascii="맑은 고딕" w:hAnsi="맑은 고딕" w:eastAsia="맑은 고딕"/>
                <w:b/>
                <w:sz w:val="20"/>
              </w:rPr>
              <w:t>Ⅲ. 결론</w:t>
            </w:r>
          </w:p>
          <w:p>
            <w:pPr>
              <w:spacing w:after="60"/>
              <w:ind w:firstLine="0"/>
            </w:pPr>
            <w:r>
              <w:rPr>
                <w:rFonts w:ascii="맑은 고딕" w:hAnsi="맑은 고딕" w:eastAsia="맑은 고딕"/>
                <w:b/>
                <w:sz w:val="20"/>
              </w:rPr>
              <w:t>참고문헌</w:t>
            </w:r>
          </w:p>
        </w:tc>
      </w:tr>
    </w:tbl>
    <w:p>
      <w:r>
        <w:br w:type="page"/>
      </w:r>
    </w:p>
    <w:p>
      <w:pPr>
        <w:pStyle w:val="Heading1"/>
        <w:keepNext/>
        <w:spacing w:before="180" w:after="80"/>
        <w:ind w:firstLine="0"/>
        <w:jc w:val="left"/>
      </w:pPr>
      <w:r>
        <w:rPr>
          <w:rFonts w:ascii="맑은 고딕" w:hAnsi="맑은 고딕" w:eastAsia="맑은 고딕"/>
          <w:b/>
          <w:color w:val="123658"/>
          <w:sz w:val="30"/>
        </w:rPr>
        <w:t>Ⅰ. 서론</w:t>
      </w:r>
    </w:p>
    <w:p>
      <w:pPr>
        <w:spacing w:after="80" w:before="0" w:line="341" w:lineRule="auto"/>
        <w:ind w:firstLine="369"/>
        <w:jc w:val="both"/>
      </w:pPr>
      <w:r>
        <w:rPr>
          <w:rFonts w:ascii="맑은 고딕" w:hAnsi="맑은 고딕" w:eastAsia="맑은 고딕"/>
          <w:sz w:val="21"/>
        </w:rPr>
        <w:t>기업은 지속적인 성장과 경쟁력 확보를 위해 생산설비의 신설·교체, 신규 제품 개발, 정보시스템 구축, 해외시장 진출, 기업 인수 등 다양한 투자활동을 수행한다. 이러한 활동은 현재 시점에서 상당한 현금이 지출되는 반면, 그 성과는 여러 기간에 걸쳐 미래 현금유입으로 실현된다는 특징을 지닌다. 따라서 투자안의 회계상 이익만을 비교해서는 투자로 인해 실제로 창출되는 경제적 가치를 충분히 판단하기 어렵다. 재무관리에서는 투자로 발생하는 증분현금흐름을 추정하고, 이를 화폐의 시간가치를 반영한 현재가치로 환산하여 투자안의 경제성을 평가한다.</w:t>
      </w:r>
    </w:p>
    <w:p>
      <w:pPr>
        <w:spacing w:after="80" w:before="0" w:line="341" w:lineRule="auto"/>
        <w:ind w:firstLine="369"/>
        <w:jc w:val="both"/>
      </w:pPr>
      <w:r>
        <w:rPr>
          <w:rFonts w:ascii="맑은 고딕" w:hAnsi="맑은 고딕" w:eastAsia="맑은 고딕"/>
          <w:sz w:val="21"/>
        </w:rPr>
        <w:t>투자 의사결정은 장기간 기업의 자금구조와 수익성에 영향을 미치며, 일단 집행된 설비투자는 단기간에 회수하거나 변경하기 어렵다. 특히 미래 매출, 원가, 세율, 잔존가치 및 할인율에는 불확실성이 존재하므로 현금흐름 추정의 전제와 평가기준을 명확하게 설정해야 한다. 잘못된 수요예측이나 관련 없는 매몰원가의 포함, 운전자본 회수의 누락, 감가상각 절세효과의 미반영 등은 투자안의 가치를 왜곡하는 대표적인 오류이다.</w:t>
      </w:r>
    </w:p>
    <w:p>
      <w:pPr>
        <w:spacing w:after="80" w:before="0" w:line="341" w:lineRule="auto"/>
        <w:ind w:firstLine="369"/>
        <w:jc w:val="both"/>
      </w:pPr>
      <w:r>
        <w:rPr>
          <w:rFonts w:ascii="맑은 고딕" w:hAnsi="맑은 고딕" w:eastAsia="맑은 고딕"/>
          <w:sz w:val="21"/>
        </w:rPr>
        <w:t>본 과제에서는 기업이 신규 자동화 설비를 도입하는 가상 투자안을 설정하고, 초기투자현금흐름·영업현금흐름·종결현금흐름을 단계적으로 추정한다. 이어서 순현재가치(Net Present Value: NPV)와 내부수익률(Internal Rate of Return: IRR)을 계산하여 경제성을 판단하고, 매출액과 할인율이 변할 때 평가결과가 어떻게 달라지는지 민감도 분석을 수행한다. 이를 통해 두 평가기법의 의미와 장단점을 비교하고, 실제 투자 의사결정에서 고려해야 할 사항을 제시하고자 한다.</w:t>
      </w:r>
    </w:p>
    <w:tbl>
      <w:tblPr>
        <w:tblW w:type="auto" w:w="0"/>
        <w:jc w:val="center"/>
        <w:tblLook w:firstColumn="1" w:firstRow="1" w:lastColumn="0" w:lastRow="0" w:noHBand="0" w:noVBand="1" w:val="04A0"/>
      </w:tblPr>
      <w:tblGrid>
        <w:gridCol w:w="9632"/>
      </w:tblGrid>
      <w:tr>
        <w:trPr>
          <w:cantSplit/>
        </w:trPr>
        <w:tc>
          <w:tcPr>
            <w:tcW w:type="dxa" w:w="9632"/>
            <w:shd w:fill="FFF4D9"/>
            <w:tcMar>
              <w:top w:w="170" w:type="dxa"/>
              <w:start w:w="220" w:type="dxa"/>
              <w:bottom w:w="170" w:type="dxa"/>
              <w:end w:w="220" w:type="dxa"/>
            </w:tcMar>
            <w:tcBorders>
              <w:top w:val="single" w:sz="8" w:color="E0A22B"/>
              <w:start w:val="single" w:sz="8" w:color="E0A22B"/>
              <w:bottom w:val="single" w:sz="8" w:color="E0A22B"/>
              <w:end w:val="single" w:sz="8" w:color="E0A22B"/>
            </w:tcBorders>
          </w:tcPr>
          <w:p>
            <w:pPr>
              <w:spacing w:after="100"/>
              <w:ind w:firstLine="0"/>
            </w:pPr>
            <w:r>
              <w:rPr>
                <w:rFonts w:ascii="맑은 고딕" w:hAnsi="맑은 고딕" w:eastAsia="맑은 고딕"/>
                <w:b/>
                <w:color w:val="694100"/>
                <w:sz w:val="21"/>
              </w:rPr>
              <w:t>분석의 핵심 관점</w:t>
            </w:r>
          </w:p>
          <w:p>
            <w:pPr>
              <w:spacing w:after="0" w:line="336" w:lineRule="auto"/>
              <w:ind w:firstLine="0"/>
            </w:pPr>
            <w:r>
              <w:rPr>
                <w:rFonts w:ascii="맑은 고딕" w:hAnsi="맑은 고딕" w:eastAsia="맑은 고딕"/>
                <w:sz w:val="19"/>
              </w:rPr>
              <w:t>투자안 평가는 회계이익이 아니라 투자 때문에 추가로 발생하는 세후 증분현금흐름을 기준으로 수행해야 한다. 또한 동일한 현금이라도 발생시점이 다르면 경제적 가치가 다르므로 할인율을 적용해야 한다.</w:t>
            </w:r>
          </w:p>
        </w:tc>
      </w:tr>
    </w:tbl>
    <w:p>
      <w:pPr>
        <w:spacing w:after="0"/>
      </w:pPr>
    </w:p>
    <w:p>
      <w:r>
        <w:br w:type="page"/>
      </w:r>
    </w:p>
    <w:p>
      <w:pPr>
        <w:pStyle w:val="Heading1"/>
        <w:keepNext/>
        <w:spacing w:before="180" w:after="80"/>
        <w:ind w:firstLine="0"/>
        <w:jc w:val="left"/>
      </w:pPr>
      <w:r>
        <w:rPr>
          <w:rFonts w:ascii="맑은 고딕" w:hAnsi="맑은 고딕" w:eastAsia="맑은 고딕"/>
          <w:b/>
          <w:color w:val="123658"/>
          <w:sz w:val="30"/>
        </w:rPr>
        <w:t>Ⅱ. 본론</w:t>
      </w:r>
    </w:p>
    <w:p>
      <w:pPr>
        <w:pStyle w:val="Heading2"/>
        <w:keepNext/>
        <w:spacing w:before="120" w:after="80"/>
        <w:ind w:firstLine="0"/>
        <w:jc w:val="left"/>
      </w:pPr>
      <w:r>
        <w:rPr>
          <w:rFonts w:ascii="맑은 고딕" w:hAnsi="맑은 고딕" w:eastAsia="맑은 고딕"/>
          <w:b/>
          <w:color w:val="265680"/>
          <w:sz w:val="24"/>
        </w:rPr>
        <w:t>1. 기업 투자활동과 현금흐름의 개념</w:t>
      </w:r>
    </w:p>
    <w:p>
      <w:pPr>
        <w:spacing w:after="80" w:before="0" w:line="341" w:lineRule="auto"/>
        <w:ind w:firstLine="369"/>
        <w:jc w:val="both"/>
      </w:pPr>
      <w:r>
        <w:rPr>
          <w:rFonts w:ascii="맑은 고딕" w:hAnsi="맑은 고딕" w:eastAsia="맑은 고딕"/>
          <w:sz w:val="21"/>
        </w:rPr>
        <w:t>자본예산은 기업이 장기 투자대안을 발굴하고, 미래 현금흐름을 예측하며, 경제성을 평가한 뒤 제한된 자금을 배분하는 일련의 의사결정 과정이다. 투자안의 현금흐름은 일반적으로 초기투자현금흐름, 투자기간 중 영업현금흐름, 사업 종료 시점의 종결현금흐름으로 구분한다. 초기투자현금흐름에는 자산 취득가격, 설치비, 교육비, 기존 자산 처분에 따른 세후 유입, 순운전자본 증가액 등이 포함된다. 영업현금흐름에는 매출 증가, 현금성 영업비용, 법인세 및 감가상각 절세효과가 반영된다. 종결현금흐름에는 자산 처분대금의 세후금액과 운전자본 회수액이 포함된다(Ross et al., 2022).</w:t>
      </w:r>
    </w:p>
    <w:p>
      <w:pPr>
        <w:spacing w:after="80" w:before="0" w:line="341" w:lineRule="auto"/>
        <w:ind w:firstLine="369"/>
        <w:jc w:val="both"/>
      </w:pPr>
      <w:r>
        <w:rPr>
          <w:rFonts w:ascii="맑은 고딕" w:hAnsi="맑은 고딕" w:eastAsia="맑은 고딕"/>
          <w:sz w:val="21"/>
        </w:rPr>
        <w:t>현금흐름 추정에서는 증분원칙을 적용해야 한다. 즉 투자안을 채택할 때와 채택하지 않을 때의 현금흐름 차이만을 반영한다. 과거에 이미 지출되어 회수할 수 없는 매몰원가는 제외하지만, 투자로 인해 다른 사업기회를 포기하면서 발생하는 기회비용은 포함해야 한다. 또한 본사 공통비처럼 투자 여부와 관계없이 발생하는 비용은 배분액 자체가 아니라 실제 증가분만 반영한다. 이자비용은 할인율에 자금조달비용이 이미 반영되므로 프로젝트 현금흐름에서 별도로 차감하지 않는 것이 일반적이다.</w:t>
      </w:r>
    </w:p>
    <w:p>
      <w:pPr>
        <w:pStyle w:val="Heading2"/>
        <w:keepNext/>
        <w:spacing w:before="120" w:after="80"/>
        <w:ind w:firstLine="0"/>
        <w:jc w:val="left"/>
      </w:pPr>
      <w:r>
        <w:rPr>
          <w:rFonts w:ascii="맑은 고딕" w:hAnsi="맑은 고딕" w:eastAsia="맑은 고딕"/>
          <w:b/>
          <w:color w:val="265680"/>
          <w:sz w:val="24"/>
        </w:rPr>
        <w:t>2. 영업현금흐름의 추정</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영업현금흐름 산식</w:t>
            </w:r>
          </w:p>
          <w:p>
            <w:pPr>
              <w:spacing w:after="60"/>
              <w:ind w:firstLine="0"/>
              <w:jc w:val="center"/>
            </w:pPr>
            <w:r>
              <w:rPr>
                <w:rFonts w:ascii="맑은 고딕" w:hAnsi="맑은 고딕" w:eastAsia="맑은 고딕"/>
                <w:b/>
                <w:sz w:val="21"/>
              </w:rPr>
              <w:t>OCF = (매출액 - 현금영업비용 - 감가상각비) × (1 - 법인세율) + 감가상각비</w:t>
            </w:r>
          </w:p>
          <w:p>
            <w:pPr>
              <w:spacing w:after="0"/>
              <w:ind w:firstLine="0"/>
              <w:jc w:val="center"/>
            </w:pPr>
            <w:r>
              <w:rPr>
                <w:rFonts w:ascii="맑은 고딕" w:hAnsi="맑은 고딕" w:eastAsia="맑은 고딕"/>
                <w:color w:val="464646"/>
                <w:sz w:val="17"/>
              </w:rPr>
              <w:t>감가상각비는 현금지출이 아니지만 과세소득을 감소시켜 법인세 절감효과를 발생시킨다.</w:t>
            </w:r>
          </w:p>
        </w:tc>
      </w:tr>
    </w:tbl>
    <w:p>
      <w:pPr>
        <w:spacing w:after="0"/>
      </w:pPr>
    </w:p>
    <w:p>
      <w:pPr>
        <w:spacing w:after="80" w:before="0" w:line="341" w:lineRule="auto"/>
        <w:ind w:firstLine="369"/>
        <w:jc w:val="both"/>
      </w:pPr>
      <w:r>
        <w:rPr>
          <w:rFonts w:ascii="맑은 고딕" w:hAnsi="맑은 고딕" w:eastAsia="맑은 고딕"/>
          <w:sz w:val="21"/>
        </w:rPr>
        <w:t>위 산식은 세후영업이익에 비현금비용인 감가상각비를 다시 더하는 방식이다. 동일하게 “(매출액-현금영업비용)×(1-세율)+감가상각비×세율”로도 표현할 수 있다. 두 번째 표현은 영업에서 창출되는 세후 현금과 감가상각 절세효과를 분리하여 보여 준다는 장점이 있다. 현금흐름은 명목금액과 실질금액, 할인율은 명목할인율과 실질할인율이 서로 일관되도록 적용해야 하며, 물가상승이 매출과 비용에 미치는 영향도 합리적으로 반영해야 한다.</w:t>
      </w:r>
    </w:p>
    <w:p>
      <w:r>
        <w:br w:type="page"/>
      </w:r>
    </w:p>
    <w:p>
      <w:pPr>
        <w:pStyle w:val="Heading2"/>
        <w:keepNext/>
        <w:spacing w:before="120" w:after="80"/>
        <w:ind w:firstLine="0"/>
        <w:jc w:val="left"/>
      </w:pPr>
      <w:r>
        <w:rPr>
          <w:rFonts w:ascii="맑은 고딕" w:hAnsi="맑은 고딕" w:eastAsia="맑은 고딕"/>
          <w:b/>
          <w:color w:val="265680"/>
          <w:sz w:val="24"/>
        </w:rPr>
        <w:t>3. NPV와 IRR의 이론적 기준</w:t>
      </w:r>
    </w:p>
    <w:p>
      <w:pPr>
        <w:spacing w:after="80" w:before="0" w:line="341" w:lineRule="auto"/>
        <w:ind w:firstLine="369"/>
        <w:jc w:val="both"/>
      </w:pPr>
      <w:r>
        <w:rPr>
          <w:rFonts w:ascii="맑은 고딕" w:hAnsi="맑은 고딕" w:eastAsia="맑은 고딕"/>
          <w:sz w:val="21"/>
        </w:rPr>
        <w:t>NPV는 투자안에서 발생하는 미래 순현금흐름을 요구수익률로 할인한 현재가치의 합에서 초기투자액을 차감한 값이다. 요구수익률은 투자위험과 자금의 기회비용을 반영하며, 기업 실무에서는 투자안의 위험이 기존 사업과 유사한 경우 가중평균자본비용을 기준으로 설정할 수 있다. NPV가 0보다 크다는 것은 투자안이 요구수익률을 충족하고도 기업가치를 추가로 창출한다는 의미이며, 독립적인 투자안은 NPV가 양수일 때 채택하는 것이 원칙이다(Brealey et al., 2020).</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순현재가치</w:t>
            </w:r>
          </w:p>
          <w:p>
            <w:pPr>
              <w:spacing w:after="60"/>
              <w:ind w:firstLine="0"/>
              <w:jc w:val="center"/>
            </w:pPr>
            <w:r>
              <w:rPr>
                <w:rFonts w:ascii="맑은 고딕" w:hAnsi="맑은 고딕" w:eastAsia="맑은 고딕"/>
                <w:b/>
                <w:sz w:val="21"/>
              </w:rPr>
              <w:t>NPV = -I₀ + Σ[t=1→n] CFₜ / (1+k)ᵗ</w:t>
            </w:r>
          </w:p>
          <w:p>
            <w:pPr>
              <w:spacing w:after="0"/>
              <w:ind w:firstLine="0"/>
              <w:jc w:val="center"/>
            </w:pPr>
            <w:r>
              <w:rPr>
                <w:rFonts w:ascii="맑은 고딕" w:hAnsi="맑은 고딕" w:eastAsia="맑은 고딕"/>
                <w:color w:val="464646"/>
                <w:sz w:val="17"/>
              </w:rPr>
              <w:t>I₀: 초기투자액, CFₜ: t기의 순현금흐름, k: 요구수익률, n: 투자기간</w:t>
            </w:r>
          </w:p>
        </w:tc>
      </w:tr>
    </w:tbl>
    <w:p>
      <w:pPr>
        <w:spacing w:after="0"/>
      </w:pPr>
    </w:p>
    <w:p>
      <w:pPr>
        <w:spacing w:after="80" w:before="0" w:line="341" w:lineRule="auto"/>
        <w:ind w:firstLine="369"/>
        <w:jc w:val="both"/>
      </w:pPr>
      <w:r>
        <w:rPr>
          <w:rFonts w:ascii="맑은 고딕" w:hAnsi="맑은 고딕" w:eastAsia="맑은 고딕"/>
          <w:sz w:val="21"/>
        </w:rPr>
        <w:t>IRR은 투자안의 NPV를 0으로 만드는 할인율이다. 즉 프로젝트가 자체적으로 제공하는 기대수익률로 해석할 수 있으며, IRR이 기업의 요구수익률보다 크면 투자안을 채택한다. IRR은 결과가 백분율로 제시되므로 경영자가 이해하기 쉽고 서로 다른 투자안의 수익성을 직관적으로 비교할 수 있다는 장점이 있다. 그러나 현금흐름의 부호가 여러 번 바뀌는 비정상적 투자안에서는 복수의 IRR이 발생하거나 IRR이 존재하지 않을 수 있다(Berk &amp; DeMarzo, 2020).</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내부수익률</w:t>
            </w:r>
          </w:p>
          <w:p>
            <w:pPr>
              <w:spacing w:after="60"/>
              <w:ind w:firstLine="0"/>
              <w:jc w:val="center"/>
            </w:pPr>
            <w:r>
              <w:rPr>
                <w:rFonts w:ascii="맑은 고딕" w:hAnsi="맑은 고딕" w:eastAsia="맑은 고딕"/>
                <w:b/>
                <w:sz w:val="21"/>
              </w:rPr>
              <w:t>0 = -I₀ + Σ[t=1→n] CFₜ / (1+IRR)ᵗ</w:t>
            </w:r>
          </w:p>
          <w:p>
            <w:pPr>
              <w:spacing w:after="0"/>
              <w:ind w:firstLine="0"/>
              <w:jc w:val="center"/>
            </w:pPr>
            <w:r>
              <w:rPr>
                <w:rFonts w:ascii="맑은 고딕" w:hAnsi="맑은 고딕" w:eastAsia="맑은 고딕"/>
                <w:color w:val="464646"/>
                <w:sz w:val="17"/>
              </w:rPr>
              <w:t>IRR은 방정식을 만족시키는 할인율이며 일반적으로 반복계산이나 재무함수를 이용해 구한다.</w:t>
            </w:r>
          </w:p>
        </w:tc>
      </w:tr>
    </w:tbl>
    <w:p>
      <w:pPr>
        <w:spacing w:after="0"/>
      </w:pPr>
    </w:p>
    <w:p>
      <w:pPr>
        <w:spacing w:after="80" w:before="0" w:line="341" w:lineRule="auto"/>
        <w:ind w:firstLine="369"/>
        <w:jc w:val="both"/>
      </w:pPr>
      <w:r>
        <w:rPr>
          <w:rFonts w:ascii="맑은 고딕" w:hAnsi="맑은 고딕" w:eastAsia="맑은 고딕"/>
          <w:sz w:val="21"/>
        </w:rPr>
        <w:t>NPV와 IRR은 독립적인 전통적 투자안에서는 대체로 동일한 채택 결론을 제시한다. 다만 상호배타적 투자안에서 투자규모나 현금흐름 발생시점이 다르면 순위가 충돌할 수 있다. 이때 NPV는 주주의 부를 얼마나 증가시키는지를 금액으로 직접 보여 주고, 중간 현금흐름을 요구수익률로 재투자한다고 가정하므로 기업가치 극대화 원칙에 더 부합한다. 따라서 투자안 간 순위가 충돌할 경우 NPV를 우선적인 판단기준으로 삼는 것이 타당하다.</w:t>
      </w:r>
    </w:p>
    <w:tbl>
      <w:tblPr>
        <w:tblW w:type="auto" w:w="0"/>
        <w:jc w:val="center"/>
        <w:tblLayout w:type="fixed"/>
        <w:tblLook w:firstColumn="1" w:firstRow="1" w:lastColumn="0" w:lastRow="0" w:noHBand="0" w:noVBand="1" w:val="04A0"/>
      </w:tblPr>
      <w:tblGrid>
        <w:gridCol w:w="3211"/>
        <w:gridCol w:w="3211"/>
        <w:gridCol w:w="3211"/>
      </w:tblGrid>
      <w:tr>
        <w:trPr>
          <w:tblHeader w:val="true"/>
          <w:cantSplit/>
        </w:trPr>
        <w:tc>
          <w:tcPr>
            <w:tcW w:type="dxa" w:w="187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구분</w:t>
            </w:r>
          </w:p>
        </w:tc>
        <w:tc>
          <w:tcPr>
            <w:tcW w:type="dxa" w:w="3402"/>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NPV</w:t>
            </w:r>
          </w:p>
        </w:tc>
        <w:tc>
          <w:tcPr>
            <w:tcW w:type="dxa" w:w="3402"/>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IRR</w:t>
            </w:r>
          </w:p>
        </w:tc>
      </w:tr>
      <w:tr>
        <w:trPr>
          <w:cantSplit/>
        </w:trPr>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판단기준</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NPV &gt; 0이면 채택</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IRR &gt; 요구수익률이면 채택</w:t>
            </w:r>
          </w:p>
        </w:tc>
      </w:tr>
      <w:tr>
        <w:trPr>
          <w:cantSplit/>
        </w:trPr>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결과표현</w:t>
            </w:r>
          </w:p>
        </w:tc>
        <w:tc>
          <w:tcPr>
            <w:tcW w:type="dxa" w:w="3402"/>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기업가치 증가액(금액)</w:t>
            </w:r>
          </w:p>
        </w:tc>
        <w:tc>
          <w:tcPr>
            <w:tcW w:type="dxa" w:w="3402"/>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투자안의 수익률(%)</w:t>
            </w:r>
          </w:p>
        </w:tc>
      </w:tr>
      <w:tr>
        <w:trPr>
          <w:cantSplit/>
        </w:trPr>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재투자 가정</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요구수익률</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IRR</w:t>
            </w:r>
          </w:p>
        </w:tc>
      </w:tr>
      <w:tr>
        <w:trPr>
          <w:cantSplit/>
        </w:trPr>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장점</w:t>
            </w:r>
          </w:p>
        </w:tc>
        <w:tc>
          <w:tcPr>
            <w:tcW w:type="dxa" w:w="3402"/>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가치가산성, 기업가치와 직접 연결</w:t>
            </w:r>
          </w:p>
        </w:tc>
        <w:tc>
          <w:tcPr>
            <w:tcW w:type="dxa" w:w="3402"/>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직관적이고 비교가 쉬움</w:t>
            </w:r>
          </w:p>
        </w:tc>
      </w:tr>
      <w:tr>
        <w:trPr>
          <w:cantSplit/>
        </w:trPr>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주의점</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할인율 추정에 따라 결과 변화</w:t>
            </w:r>
          </w:p>
        </w:tc>
        <w:tc>
          <w:tcPr>
            <w:tcW w:type="dxa" w:w="3402"/>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복수 IRR, 순위 충돌 가능</w:t>
            </w:r>
          </w:p>
        </w:tc>
      </w:tr>
    </w:tbl>
    <w:p>
      <w:pPr>
        <w:spacing w:after="0"/>
      </w:pPr>
    </w:p>
    <w:p>
      <w:pPr>
        <w:pStyle w:val="Heading2"/>
        <w:keepNext/>
        <w:spacing w:before="120" w:after="80"/>
        <w:ind w:firstLine="0"/>
        <w:jc w:val="left"/>
      </w:pPr>
      <w:r>
        <w:rPr>
          <w:rFonts w:ascii="맑은 고딕" w:hAnsi="맑은 고딕" w:eastAsia="맑은 고딕"/>
          <w:b/>
          <w:color w:val="265680"/>
          <w:sz w:val="24"/>
        </w:rPr>
        <w:t>4. 투자안의 현금흐름 추정</w:t>
      </w:r>
    </w:p>
    <w:p>
      <w:pPr>
        <w:pStyle w:val="Heading3"/>
        <w:keepNext/>
        <w:spacing w:before="120" w:after="80"/>
        <w:ind w:firstLine="0"/>
        <w:jc w:val="left"/>
      </w:pPr>
      <w:r>
        <w:rPr>
          <w:rFonts w:ascii="맑은 고딕" w:hAnsi="맑은 고딕" w:eastAsia="맑은 고딕"/>
          <w:b/>
          <w:color w:val="373737"/>
          <w:sz w:val="21"/>
        </w:rPr>
        <w:t>4.1 가상 투자안의 개요와 기본 가정</w:t>
      </w:r>
    </w:p>
    <w:p>
      <w:pPr>
        <w:spacing w:after="80" w:before="0" w:line="341" w:lineRule="auto"/>
        <w:ind w:firstLine="369"/>
        <w:jc w:val="both"/>
      </w:pPr>
      <w:r>
        <w:rPr>
          <w:rFonts w:ascii="맑은 고딕" w:hAnsi="맑은 고딕" w:eastAsia="맑은 고딕"/>
          <w:sz w:val="21"/>
        </w:rPr>
        <w:t>A제조기업은 생산능력 확대와 불량률 감소를 위해 자동화 설비 도입을 검토하고 있다. 설비의 취득가격은 5억 원이며, 설치 및 시운전 비용으로 2천만 원이 추가로 필요하다. 사업 개시 시 원재료 재고와 매출채권 증가로 순운전자본 3천만 원이 투입된다. 설비의 경제적 내용연수는 5년이고, 감가상각은 정액법을 적용한다. 감가상각 계산상 잔존가치는 2천만 원이며, 5년 후 시장에서 5천만 원에 처분할 수 있을 것으로 예상한다.</w:t>
      </w:r>
    </w:p>
    <w:p>
      <w:pPr>
        <w:spacing w:after="80" w:before="0" w:line="341" w:lineRule="auto"/>
        <w:ind w:firstLine="369"/>
        <w:jc w:val="both"/>
      </w:pPr>
      <w:r>
        <w:rPr>
          <w:rFonts w:ascii="맑은 고딕" w:hAnsi="맑은 고딕" w:eastAsia="맑은 고딕"/>
          <w:sz w:val="21"/>
        </w:rPr>
        <w:t>설비 도입으로 매년 3억 3천만 원의 추가 매출이 발생하고, 재료비·인건비·유지보수비 등 현금성 영업비용은 매년 1억 8천만 원으로 추정한다. 법인세율은 20%, 투자안의 위험을 반영한 요구수익률은 10%로 가정한다. 분석의 단순화를 위해 매출액과 비용은 매년 동일하며, 현금흐름은 각 연도 말에 발생한다고 본다. 5년 말에는 설비 처분과 동시에 순운전자본 전액이 회수된다.</w:t>
      </w:r>
    </w:p>
    <w:tbl>
      <w:tblPr>
        <w:tblW w:type="auto" w:w="0"/>
        <w:jc w:val="center"/>
        <w:tblLayout w:type="fixed"/>
        <w:tblLook w:firstColumn="1" w:firstRow="1" w:lastColumn="0" w:lastRow="0" w:noHBand="0" w:noVBand="1" w:val="04A0"/>
      </w:tblPr>
      <w:tblGrid>
        <w:gridCol w:w="3211"/>
        <w:gridCol w:w="3211"/>
        <w:gridCol w:w="3211"/>
      </w:tblGrid>
      <w:tr>
        <w:trPr>
          <w:tblHeader w:val="true"/>
          <w:cantSplit/>
        </w:trPr>
        <w:tc>
          <w:tcPr>
            <w:tcW w:type="dxa" w:w="226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항목</w:t>
            </w:r>
          </w:p>
        </w:tc>
        <w:tc>
          <w:tcPr>
            <w:tcW w:type="dxa" w:w="311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가정 금액 및 조건</w:t>
            </w:r>
          </w:p>
        </w:tc>
        <w:tc>
          <w:tcPr>
            <w:tcW w:type="dxa" w:w="328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현금흐름 반영</w:t>
            </w:r>
          </w:p>
        </w:tc>
      </w:tr>
      <w:tr>
        <w:trPr>
          <w:cantSplit/>
        </w:trPr>
        <w:tc>
          <w:tcPr>
            <w:tcW w:type="dxa" w:w="226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설비 취득가격</w:t>
            </w:r>
          </w:p>
        </w:tc>
        <w:tc>
          <w:tcPr>
            <w:tcW w:type="dxa" w:w="311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500백만원</w:t>
            </w:r>
          </w:p>
        </w:tc>
        <w:tc>
          <w:tcPr>
            <w:tcW w:type="dxa" w:w="328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0년 초기유출</w:t>
            </w:r>
          </w:p>
        </w:tc>
      </w:tr>
      <w:tr>
        <w:trPr>
          <w:cantSplit/>
        </w:trPr>
        <w:tc>
          <w:tcPr>
            <w:tcW w:type="dxa" w:w="226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설치·시운전비</w:t>
            </w:r>
          </w:p>
        </w:tc>
        <w:tc>
          <w:tcPr>
            <w:tcW w:type="dxa" w:w="311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20백만원</w:t>
            </w:r>
          </w:p>
        </w:tc>
        <w:tc>
          <w:tcPr>
            <w:tcW w:type="dxa" w:w="328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0년 초기유출 및 감가상각 대상</w:t>
            </w:r>
          </w:p>
        </w:tc>
      </w:tr>
      <w:tr>
        <w:trPr>
          <w:cantSplit/>
        </w:trPr>
        <w:tc>
          <w:tcPr>
            <w:tcW w:type="dxa" w:w="226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순운전자본 증가</w:t>
            </w:r>
          </w:p>
        </w:tc>
        <w:tc>
          <w:tcPr>
            <w:tcW w:type="dxa" w:w="311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30백만원</w:t>
            </w:r>
          </w:p>
        </w:tc>
        <w:tc>
          <w:tcPr>
            <w:tcW w:type="dxa" w:w="328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0년 유출, 5년 말 회수</w:t>
            </w:r>
          </w:p>
        </w:tc>
      </w:tr>
      <w:tr>
        <w:trPr>
          <w:cantSplit/>
        </w:trPr>
        <w:tc>
          <w:tcPr>
            <w:tcW w:type="dxa" w:w="226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연간 증분매출</w:t>
            </w:r>
          </w:p>
        </w:tc>
        <w:tc>
          <w:tcPr>
            <w:tcW w:type="dxa" w:w="311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330백만원</w:t>
            </w:r>
          </w:p>
        </w:tc>
        <w:tc>
          <w:tcPr>
            <w:tcW w:type="dxa" w:w="328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1~5년 영업유입</w:t>
            </w:r>
          </w:p>
        </w:tc>
      </w:tr>
      <w:tr>
        <w:trPr>
          <w:cantSplit/>
        </w:trPr>
        <w:tc>
          <w:tcPr>
            <w:tcW w:type="dxa" w:w="226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연간 현금영업비용</w:t>
            </w:r>
          </w:p>
        </w:tc>
        <w:tc>
          <w:tcPr>
            <w:tcW w:type="dxa" w:w="311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180백만원</w:t>
            </w:r>
          </w:p>
        </w:tc>
        <w:tc>
          <w:tcPr>
            <w:tcW w:type="dxa" w:w="328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1~5년 영업유출</w:t>
            </w:r>
          </w:p>
        </w:tc>
      </w:tr>
      <w:tr>
        <w:trPr>
          <w:cantSplit/>
        </w:trPr>
        <w:tc>
          <w:tcPr>
            <w:tcW w:type="dxa" w:w="226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내용연수/잔존가치</w:t>
            </w:r>
          </w:p>
        </w:tc>
        <w:tc>
          <w:tcPr>
            <w:tcW w:type="dxa" w:w="311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5년 / 20백만원</w:t>
            </w:r>
          </w:p>
        </w:tc>
        <w:tc>
          <w:tcPr>
            <w:tcW w:type="dxa" w:w="328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정액법 감가상각</w:t>
            </w:r>
          </w:p>
        </w:tc>
      </w:tr>
      <w:tr>
        <w:trPr>
          <w:cantSplit/>
        </w:trPr>
        <w:tc>
          <w:tcPr>
            <w:tcW w:type="dxa" w:w="226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5년 말 처분가격</w:t>
            </w:r>
          </w:p>
        </w:tc>
        <w:tc>
          <w:tcPr>
            <w:tcW w:type="dxa" w:w="311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50백만원</w:t>
            </w:r>
          </w:p>
        </w:tc>
        <w:tc>
          <w:tcPr>
            <w:tcW w:type="dxa" w:w="328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처분손익의 법인세 반영</w:t>
            </w:r>
          </w:p>
        </w:tc>
      </w:tr>
      <w:tr>
        <w:trPr>
          <w:cantSplit/>
        </w:trPr>
        <w:tc>
          <w:tcPr>
            <w:tcW w:type="dxa" w:w="226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법인세율/요구수익률</w:t>
            </w:r>
          </w:p>
        </w:tc>
        <w:tc>
          <w:tcPr>
            <w:tcW w:type="dxa" w:w="311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20% / 10%</w:t>
            </w:r>
          </w:p>
        </w:tc>
        <w:tc>
          <w:tcPr>
            <w:tcW w:type="dxa" w:w="328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세후 현금흐름 및 할인율</w:t>
            </w:r>
          </w:p>
        </w:tc>
      </w:tr>
    </w:tbl>
    <w:p>
      <w:pPr>
        <w:spacing w:after="0"/>
      </w:pPr>
    </w:p>
    <w:p>
      <w:pPr>
        <w:pStyle w:val="Heading3"/>
        <w:keepNext/>
        <w:spacing w:before="120" w:after="80"/>
        <w:ind w:firstLine="0"/>
        <w:jc w:val="left"/>
      </w:pPr>
      <w:r>
        <w:rPr>
          <w:rFonts w:ascii="맑은 고딕" w:hAnsi="맑은 고딕" w:eastAsia="맑은 고딕"/>
          <w:b/>
          <w:color w:val="373737"/>
          <w:sz w:val="21"/>
        </w:rPr>
        <w:t>4.2 초기투자현금흐름</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0년 시점 초기투자액</w:t>
            </w:r>
          </w:p>
          <w:p>
            <w:pPr>
              <w:spacing w:after="60"/>
              <w:ind w:firstLine="0"/>
              <w:jc w:val="center"/>
            </w:pPr>
            <w:r>
              <w:rPr>
                <w:rFonts w:ascii="맑은 고딕" w:hAnsi="맑은 고딕" w:eastAsia="맑은 고딕"/>
                <w:b/>
                <w:sz w:val="21"/>
              </w:rPr>
              <w:t>초기투자현금흐름 = -(500 + 20 + 30) = -550백만원</w:t>
            </w:r>
          </w:p>
          <w:p>
            <w:pPr>
              <w:spacing w:after="0"/>
              <w:ind w:firstLine="0"/>
              <w:jc w:val="center"/>
            </w:pPr>
            <w:r>
              <w:rPr>
                <w:rFonts w:ascii="맑은 고딕" w:hAnsi="맑은 고딕" w:eastAsia="맑은 고딕"/>
                <w:color w:val="464646"/>
                <w:sz w:val="17"/>
              </w:rPr>
              <w:t>설비 및 설치비 520백만원과 순운전자본 30백만원이 즉시 지출된다.</w:t>
            </w:r>
          </w:p>
        </w:tc>
      </w:tr>
    </w:tbl>
    <w:p>
      <w:pPr>
        <w:spacing w:after="0"/>
      </w:pPr>
    </w:p>
    <w:p>
      <w:r>
        <w:br w:type="page"/>
      </w:r>
    </w:p>
    <w:p>
      <w:pPr>
        <w:pStyle w:val="Heading3"/>
        <w:keepNext/>
        <w:spacing w:before="120" w:after="80"/>
        <w:ind w:firstLine="0"/>
        <w:jc w:val="left"/>
      </w:pPr>
      <w:r>
        <w:rPr>
          <w:rFonts w:ascii="맑은 고딕" w:hAnsi="맑은 고딕" w:eastAsia="맑은 고딕"/>
          <w:b/>
          <w:color w:val="373737"/>
          <w:sz w:val="21"/>
        </w:rPr>
        <w:t>4.3 연간 영업현금흐름</w:t>
      </w:r>
    </w:p>
    <w:p>
      <w:pPr>
        <w:spacing w:after="80" w:before="0" w:line="341" w:lineRule="auto"/>
        <w:ind w:firstLine="369"/>
        <w:jc w:val="both"/>
      </w:pPr>
      <w:r>
        <w:rPr>
          <w:rFonts w:ascii="맑은 고딕" w:hAnsi="맑은 고딕" w:eastAsia="맑은 고딕"/>
          <w:sz w:val="21"/>
        </w:rPr>
        <w:t>감가상각 대상 금액은 설비 취득가격과 설치비를 합한 5억 2천만 원에서 감가상각상 잔존가치 2천만 원을 차감한 5억 원이다. 이를 5년 동안 정액법으로 배분하면 연간 감가상각비는 1억 원이다. 연간 영업이익은 매출액 3억 3천만 원에서 현금영업비용 1억 8천만 원과 감가상각비 1억 원을 차감한 5천만 원이며, 법인세는 1천만 원이다. 세후영업이익 4천만 원에 감가상각비 1억 원을 다시 더하면 연간 영업현금흐름은 1억 4천만 원으로 계산된다.</w:t>
      </w:r>
    </w:p>
    <w:tbl>
      <w:tblPr>
        <w:tblW w:type="auto" w:w="0"/>
        <w:jc w:val="center"/>
        <w:tblLayout w:type="fixed"/>
        <w:tblLook w:firstColumn="1" w:firstRow="1" w:lastColumn="0" w:lastRow="0" w:noHBand="0" w:noVBand="1" w:val="04A0"/>
      </w:tblPr>
      <w:tblGrid>
        <w:gridCol w:w="3211"/>
        <w:gridCol w:w="3211"/>
        <w:gridCol w:w="3211"/>
      </w:tblGrid>
      <w:tr>
        <w:trPr>
          <w:tblHeader w:val="true"/>
          <w:cantSplit/>
        </w:trPr>
        <w:tc>
          <w:tcPr>
            <w:tcW w:type="dxa" w:w="2835"/>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구분</w:t>
            </w:r>
          </w:p>
        </w:tc>
        <w:tc>
          <w:tcPr>
            <w:tcW w:type="dxa" w:w="3855"/>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계산식</w:t>
            </w:r>
          </w:p>
        </w:tc>
        <w:tc>
          <w:tcPr>
            <w:tcW w:type="dxa" w:w="187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금액(백만원)</w:t>
            </w:r>
          </w:p>
        </w:tc>
      </w:tr>
      <w:tr>
        <w:trPr>
          <w:cantSplit/>
        </w:trPr>
        <w:tc>
          <w:tcPr>
            <w:tcW w:type="dxa" w:w="283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매출액</w:t>
            </w:r>
          </w:p>
        </w:tc>
        <w:tc>
          <w:tcPr>
            <w:tcW w:type="dxa" w:w="385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증분매출</w:t>
            </w:r>
          </w:p>
        </w:tc>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330</w:t>
            </w:r>
          </w:p>
        </w:tc>
      </w:tr>
      <w:tr>
        <w:trPr>
          <w:cantSplit/>
        </w:trPr>
        <w:tc>
          <w:tcPr>
            <w:tcW w:type="dxa" w:w="283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현금영업비용</w:t>
            </w:r>
          </w:p>
        </w:tc>
        <w:tc>
          <w:tcPr>
            <w:tcW w:type="dxa" w:w="385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재료비·인건비·유지비</w:t>
            </w:r>
          </w:p>
        </w:tc>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(180)</w:t>
            </w:r>
          </w:p>
        </w:tc>
      </w:tr>
      <w:tr>
        <w:trPr>
          <w:cantSplit/>
        </w:trPr>
        <w:tc>
          <w:tcPr>
            <w:tcW w:type="dxa" w:w="283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감가상각비</w:t>
            </w:r>
          </w:p>
        </w:tc>
        <w:tc>
          <w:tcPr>
            <w:tcW w:type="dxa" w:w="385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(520-20)/5</w:t>
            </w:r>
          </w:p>
        </w:tc>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(100)</w:t>
            </w:r>
          </w:p>
        </w:tc>
      </w:tr>
      <w:tr>
        <w:trPr>
          <w:cantSplit/>
        </w:trPr>
        <w:tc>
          <w:tcPr>
            <w:tcW w:type="dxa" w:w="283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세전영업이익(EBIT)</w:t>
            </w:r>
          </w:p>
        </w:tc>
        <w:tc>
          <w:tcPr>
            <w:tcW w:type="dxa" w:w="385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330-180-100</w:t>
            </w:r>
          </w:p>
        </w:tc>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50</w:t>
            </w:r>
          </w:p>
        </w:tc>
      </w:tr>
      <w:tr>
        <w:trPr>
          <w:cantSplit/>
        </w:trPr>
        <w:tc>
          <w:tcPr>
            <w:tcW w:type="dxa" w:w="283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법인세</w:t>
            </w:r>
          </w:p>
        </w:tc>
        <w:tc>
          <w:tcPr>
            <w:tcW w:type="dxa" w:w="385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50×20%</w:t>
            </w:r>
          </w:p>
        </w:tc>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(10)</w:t>
            </w:r>
          </w:p>
        </w:tc>
      </w:tr>
      <w:tr>
        <w:trPr>
          <w:cantSplit/>
        </w:trPr>
        <w:tc>
          <w:tcPr>
            <w:tcW w:type="dxa" w:w="283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세후영업이익</w:t>
            </w:r>
          </w:p>
        </w:tc>
        <w:tc>
          <w:tcPr>
            <w:tcW w:type="dxa" w:w="3855"/>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50-10</w:t>
            </w:r>
          </w:p>
        </w:tc>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40</w:t>
            </w:r>
          </w:p>
        </w:tc>
      </w:tr>
      <w:tr>
        <w:trPr>
          <w:cantSplit/>
        </w:trPr>
        <w:tc>
          <w:tcPr>
            <w:tcW w:type="dxa" w:w="283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영업현금흐름(OCF)</w:t>
            </w:r>
          </w:p>
        </w:tc>
        <w:tc>
          <w:tcPr>
            <w:tcW w:type="dxa" w:w="3855"/>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40+100</w:t>
            </w:r>
          </w:p>
        </w:tc>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140</w:t>
            </w:r>
          </w:p>
        </w:tc>
      </w:tr>
    </w:tbl>
    <w:p>
      <w:pPr>
        <w:spacing w:after="0"/>
      </w:pPr>
    </w:p>
    <w:p>
      <w:pPr>
        <w:pStyle w:val="Heading3"/>
        <w:keepNext/>
        <w:spacing w:before="120" w:after="80"/>
        <w:ind w:firstLine="0"/>
        <w:jc w:val="left"/>
      </w:pPr>
      <w:r>
        <w:rPr>
          <w:rFonts w:ascii="맑은 고딕" w:hAnsi="맑은 고딕" w:eastAsia="맑은 고딕"/>
          <w:b/>
          <w:color w:val="373737"/>
          <w:sz w:val="21"/>
        </w:rPr>
        <w:t>4.4 종결현금흐름</w:t>
      </w:r>
    </w:p>
    <w:p>
      <w:pPr>
        <w:spacing w:after="80" w:before="0" w:line="341" w:lineRule="auto"/>
        <w:ind w:firstLine="369"/>
        <w:jc w:val="both"/>
      </w:pPr>
      <w:r>
        <w:rPr>
          <w:rFonts w:ascii="맑은 고딕" w:hAnsi="맑은 고딕" w:eastAsia="맑은 고딕"/>
          <w:sz w:val="21"/>
        </w:rPr>
        <w:t>5년 말 설비 장부가액은 감가상각상 잔존가치인 2천만 원이며, 예상 처분가격은 5천만 원이다. 따라서 처분이익 3천만 원에 대해 20%의 법인세 6백만 원이 발생한다. 세후 처분대금은 4천4백만 원이며, 여기에 사업 개시 시 투입했던 순운전자본 3천만 원이 회수된다. 5년의 총현금흐름은 정상적인 영업현금흐름 1억 4천만 원과 추가 종결현금흐름 7천4백만 원을 합한 2억 1천4백만 원이다.</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5년 말 종결현금흐름</w:t>
            </w:r>
          </w:p>
          <w:p>
            <w:pPr>
              <w:spacing w:after="60"/>
              <w:ind w:firstLine="0"/>
              <w:jc w:val="center"/>
            </w:pPr>
            <w:r>
              <w:rPr>
                <w:rFonts w:ascii="맑은 고딕" w:hAnsi="맑은 고딕" w:eastAsia="맑은 고딕"/>
                <w:b/>
                <w:sz w:val="21"/>
              </w:rPr>
              <w:t>세후 처분대금 44 + 운전자본 회수 30 = 74백만원</w:t>
            </w:r>
          </w:p>
          <w:p>
            <w:pPr>
              <w:spacing w:after="0"/>
              <w:ind w:firstLine="0"/>
              <w:jc w:val="center"/>
            </w:pPr>
            <w:r>
              <w:rPr>
                <w:rFonts w:ascii="맑은 고딕" w:hAnsi="맑은 고딕" w:eastAsia="맑은 고딕"/>
                <w:color w:val="464646"/>
                <w:sz w:val="17"/>
              </w:rPr>
              <w:t>5년 총현금흐름 = 영업현금흐름 140 + 종결현금흐름 74 = 214백만원</w:t>
            </w:r>
          </w:p>
        </w:tc>
      </w:tr>
    </w:tbl>
    <w:p>
      <w:pPr>
        <w:spacing w:after="0"/>
      </w:pPr>
    </w:p>
    <w:tbl>
      <w:tblPr>
        <w:tblW w:type="auto" w:w="0"/>
        <w:jc w:val="center"/>
        <w:tblLayout w:type="fixed"/>
        <w:tblLook w:firstColumn="1" w:firstRow="1" w:lastColumn="0" w:lastRow="0" w:noHBand="0" w:noVBand="1" w:val="04A0"/>
      </w:tblPr>
      <w:tblGrid>
        <w:gridCol w:w="1376"/>
        <w:gridCol w:w="1376"/>
        <w:gridCol w:w="1376"/>
        <w:gridCol w:w="1376"/>
        <w:gridCol w:w="1376"/>
        <w:gridCol w:w="1376"/>
        <w:gridCol w:w="1376"/>
      </w:tblGrid>
      <w:tr>
        <w:trPr>
          <w:tblHeader w:val="true"/>
          <w:cantSplit/>
        </w:trPr>
        <w:tc>
          <w:tcPr>
            <w:tcW w:type="dxa" w:w="238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시점</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0년</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1년</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2년</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3년</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4년</w:t>
            </w:r>
          </w:p>
        </w:tc>
        <w:tc>
          <w:tcPr>
            <w:tcW w:type="dxa" w:w="1020"/>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5년</w:t>
            </w:r>
          </w:p>
        </w:tc>
      </w:tr>
      <w:tr>
        <w:trPr>
          <w:cantSplit/>
        </w:trPr>
        <w:tc>
          <w:tcPr>
            <w:tcW w:type="dxa" w:w="238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순현금흐름(백만원)</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-550</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1020"/>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214</w:t>
            </w:r>
          </w:p>
        </w:tc>
      </w:tr>
    </w:tbl>
    <w:p>
      <w:pPr>
        <w:spacing w:after="0"/>
      </w:pPr>
    </w:p>
    <w:p>
      <w:r>
        <w:br w:type="page"/>
      </w:r>
    </w:p>
    <w:p>
      <w:pPr>
        <w:pStyle w:val="Heading2"/>
        <w:keepNext/>
        <w:spacing w:before="120" w:after="80"/>
        <w:ind w:firstLine="0"/>
        <w:jc w:val="left"/>
      </w:pPr>
      <w:r>
        <w:rPr>
          <w:rFonts w:ascii="맑은 고딕" w:hAnsi="맑은 고딕" w:eastAsia="맑은 고딕"/>
          <w:b/>
          <w:color w:val="265680"/>
          <w:sz w:val="24"/>
        </w:rPr>
        <w:t>5. NPV 및 IRR 경제성 분석</w:t>
      </w:r>
    </w:p>
    <w:p>
      <w:pPr>
        <w:pStyle w:val="Heading3"/>
        <w:keepNext/>
        <w:spacing w:before="120" w:after="80"/>
        <w:ind w:firstLine="0"/>
        <w:jc w:val="left"/>
      </w:pPr>
      <w:r>
        <w:rPr>
          <w:rFonts w:ascii="맑은 고딕" w:hAnsi="맑은 고딕" w:eastAsia="맑은 고딕"/>
          <w:b/>
          <w:color w:val="373737"/>
          <w:sz w:val="21"/>
        </w:rPr>
        <w:t>5.1 NPV 분석</w:t>
      </w:r>
    </w:p>
    <w:p>
      <w:pPr>
        <w:spacing w:after="80" w:before="0" w:line="341" w:lineRule="auto"/>
        <w:ind w:firstLine="369"/>
        <w:jc w:val="both"/>
      </w:pPr>
      <w:r>
        <w:rPr>
          <w:rFonts w:ascii="맑은 고딕" w:hAnsi="맑은 고딕" w:eastAsia="맑은 고딕"/>
          <w:sz w:val="21"/>
        </w:rPr>
        <w:t>요구수익률 10%를 적용하면 1년부터 5년까지 매년 발생하는 영업현금흐름 1억 4천만 원의 현재가치는 연금현가계수 3.79079를 이용하여 약 5억 3,071만 원으로 계산된다. 5년 말에 추가로 발생하는 세후 처분대금과 운전자본 회수액 7천4백만 원의 현재가치는 약 4,595만 원이다. 두 현재가치의 합에서 초기투자액 5억 5천만 원을 차감하면 NPV는 약 2,666만 원이다.</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NPV 계산</w:t>
            </w:r>
          </w:p>
          <w:p>
            <w:pPr>
              <w:spacing w:after="60"/>
              <w:ind w:firstLine="0"/>
              <w:jc w:val="center"/>
            </w:pPr>
            <w:r>
              <w:rPr>
                <w:rFonts w:ascii="맑은 고딕" w:hAnsi="맑은 고딕" w:eastAsia="맑은 고딕"/>
                <w:b/>
                <w:sz w:val="21"/>
              </w:rPr>
              <w:t>NPV = -550 + 140×3.79079 + 74/(1.10)⁵ = 26.66백만원</w:t>
            </w:r>
          </w:p>
          <w:p>
            <w:pPr>
              <w:spacing w:after="0"/>
              <w:ind w:firstLine="0"/>
              <w:jc w:val="center"/>
            </w:pPr>
            <w:r>
              <w:rPr>
                <w:rFonts w:ascii="맑은 고딕" w:hAnsi="맑은 고딕" w:eastAsia="맑은 고딕"/>
                <w:color w:val="464646"/>
                <w:sz w:val="17"/>
              </w:rPr>
              <w:t>NPV가 0보다 크므로 요구수익률 10%를 충족하고 약 2,666만 원의 기업가치를 추가로 창출한다.</w:t>
            </w:r>
          </w:p>
        </w:tc>
      </w:tr>
    </w:tbl>
    <w:p>
      <w:pPr>
        <w:spacing w:after="0"/>
      </w:pPr>
    </w:p>
    <w:tbl>
      <w:tblPr>
        <w:tblW w:type="auto" w:w="0"/>
        <w:jc w:val="center"/>
        <w:tblLayout w:type="fixed"/>
        <w:tblLook w:firstColumn="1" w:firstRow="1" w:lastColumn="0" w:lastRow="0" w:noHBand="0" w:noVBand="1" w:val="04A0"/>
      </w:tblPr>
      <w:tblGrid>
        <w:gridCol w:w="2408"/>
        <w:gridCol w:w="2408"/>
        <w:gridCol w:w="2408"/>
        <w:gridCol w:w="2408"/>
      </w:tblGrid>
      <w:tr>
        <w:trPr>
          <w:tblHeader w:val="true"/>
          <w:cantSplit/>
        </w:trPr>
        <w:tc>
          <w:tcPr>
            <w:tcW w:type="dxa" w:w="1417"/>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연도</w:t>
            </w:r>
          </w:p>
        </w:tc>
        <w:tc>
          <w:tcPr>
            <w:tcW w:type="dxa" w:w="209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현금흐름</w:t>
            </w:r>
          </w:p>
        </w:tc>
        <w:tc>
          <w:tcPr>
            <w:tcW w:type="dxa" w:w="243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할인계수(10%)</w:t>
            </w:r>
          </w:p>
        </w:tc>
        <w:tc>
          <w:tcPr>
            <w:tcW w:type="dxa" w:w="272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현재가치(백만원)</w:t>
            </w:r>
          </w:p>
        </w:tc>
      </w:tr>
      <w:tr>
        <w:trPr>
          <w:cantSplit/>
        </w:trPr>
        <w:tc>
          <w:tcPr>
            <w:tcW w:type="dxa" w:w="1417"/>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0</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-550</w:t>
            </w:r>
          </w:p>
        </w:tc>
        <w:tc>
          <w:tcPr>
            <w:tcW w:type="dxa" w:w="243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1.00000</w:t>
            </w:r>
          </w:p>
        </w:tc>
        <w:tc>
          <w:tcPr>
            <w:tcW w:type="dxa" w:w="272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-550.00</w:t>
            </w:r>
          </w:p>
        </w:tc>
      </w:tr>
      <w:tr>
        <w:trPr>
          <w:cantSplit/>
        </w:trPr>
        <w:tc>
          <w:tcPr>
            <w:tcW w:type="dxa" w:w="1417"/>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1</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243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0.90909</w:t>
            </w:r>
          </w:p>
        </w:tc>
        <w:tc>
          <w:tcPr>
            <w:tcW w:type="dxa" w:w="272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127.27</w:t>
            </w:r>
          </w:p>
        </w:tc>
      </w:tr>
      <w:tr>
        <w:trPr>
          <w:cantSplit/>
        </w:trPr>
        <w:tc>
          <w:tcPr>
            <w:tcW w:type="dxa" w:w="1417"/>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2</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243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0.82645</w:t>
            </w:r>
          </w:p>
        </w:tc>
        <w:tc>
          <w:tcPr>
            <w:tcW w:type="dxa" w:w="272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115.70</w:t>
            </w:r>
          </w:p>
        </w:tc>
      </w:tr>
      <w:tr>
        <w:trPr>
          <w:cantSplit/>
        </w:trPr>
        <w:tc>
          <w:tcPr>
            <w:tcW w:type="dxa" w:w="1417"/>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3</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243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0.75131</w:t>
            </w:r>
          </w:p>
        </w:tc>
        <w:tc>
          <w:tcPr>
            <w:tcW w:type="dxa" w:w="272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105.18</w:t>
            </w:r>
          </w:p>
        </w:tc>
      </w:tr>
      <w:tr>
        <w:trPr>
          <w:cantSplit/>
        </w:trPr>
        <w:tc>
          <w:tcPr>
            <w:tcW w:type="dxa" w:w="1417"/>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4</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243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0.68301</w:t>
            </w:r>
          </w:p>
        </w:tc>
        <w:tc>
          <w:tcPr>
            <w:tcW w:type="dxa" w:w="272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95.62</w:t>
            </w:r>
          </w:p>
        </w:tc>
      </w:tr>
      <w:tr>
        <w:trPr>
          <w:cantSplit/>
        </w:trPr>
        <w:tc>
          <w:tcPr>
            <w:tcW w:type="dxa" w:w="1417"/>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5</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214</w:t>
            </w:r>
          </w:p>
        </w:tc>
        <w:tc>
          <w:tcPr>
            <w:tcW w:type="dxa" w:w="243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0.62092</w:t>
            </w:r>
          </w:p>
        </w:tc>
        <w:tc>
          <w:tcPr>
            <w:tcW w:type="dxa" w:w="272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132.88</w:t>
            </w:r>
          </w:p>
        </w:tc>
      </w:tr>
      <w:tr>
        <w:trPr>
          <w:cantSplit/>
        </w:trPr>
        <w:tc>
          <w:tcPr>
            <w:tcW w:type="dxa" w:w="1417"/>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합계(NPV)</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r>
          </w:p>
        </w:tc>
        <w:tc>
          <w:tcPr>
            <w:tcW w:type="dxa" w:w="243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r>
          </w:p>
        </w:tc>
        <w:tc>
          <w:tcPr>
            <w:tcW w:type="dxa" w:w="272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26.66</w:t>
            </w:r>
          </w:p>
        </w:tc>
      </w:tr>
    </w:tbl>
    <w:p>
      <w:pPr>
        <w:spacing w:after="0"/>
      </w:pPr>
    </w:p>
    <w:p>
      <w:pPr>
        <w:pStyle w:val="Heading3"/>
        <w:keepNext/>
        <w:spacing w:before="120" w:after="80"/>
        <w:ind w:firstLine="0"/>
        <w:jc w:val="left"/>
      </w:pPr>
      <w:r>
        <w:rPr>
          <w:rFonts w:ascii="맑은 고딕" w:hAnsi="맑은 고딕" w:eastAsia="맑은 고딕"/>
          <w:b/>
          <w:color w:val="373737"/>
          <w:sz w:val="21"/>
        </w:rPr>
        <w:t>5.2 IRR 분석</w:t>
      </w:r>
    </w:p>
    <w:p>
      <w:pPr>
        <w:spacing w:after="80" w:before="0" w:line="341" w:lineRule="auto"/>
        <w:ind w:firstLine="369"/>
        <w:jc w:val="both"/>
      </w:pPr>
      <w:r>
        <w:rPr>
          <w:rFonts w:ascii="맑은 고딕" w:hAnsi="맑은 고딕" w:eastAsia="맑은 고딕"/>
          <w:sz w:val="21"/>
        </w:rPr>
        <w:t>동일한 현금흐름을 기준으로 NPV가 0이 되는 할인율을 반복계산하면 IRR은 약 11.77%이다. 할인율 11%에서는 NPV가 약 1,134만 원으로 양수이고, 12%에서는 약 334만 원의 음수이므로 IRR은 두 할인율 사이에 존재한다. 재무함수를 이용한 보다 정확한 값은 11.7687%이다. 이는 기업의 요구수익률 10%보다 약 1.77%포인트 높으므로 IRR 기준에서도 투자안을 채택할 수 있다.</w:t>
      </w:r>
    </w:p>
    <w:tbl>
      <w:tblPr>
        <w:tblW w:type="auto" w:w="0"/>
        <w:jc w:val="center"/>
        <w:tblLayout w:type="autofit"/>
        <w:tblLook w:firstColumn="1" w:firstRow="1" w:lastColumn="0" w:lastRow="0" w:noHBand="0" w:noVBand="1" w:val="04A0"/>
      </w:tblPr>
      <w:tblGrid>
        <w:gridCol w:w="9632"/>
      </w:tblGrid>
      <w:tr>
        <w:trPr>
          <w:cantSplit/>
        </w:trPr>
        <w:tc>
          <w:tcPr>
            <w:tcW w:type="dxa" w:w="9632"/>
            <w:shd w:fill="EDF3F8"/>
            <w:tcMar>
              <w:top w:w="110" w:type="dxa"/>
              <w:start w:w="180" w:type="dxa"/>
              <w:bottom w:w="110" w:type="dxa"/>
              <w:end w:w="180" w:type="dxa"/>
            </w:tcMar>
            <w:tcBorders>
              <w:top w:val="single" w:sz="8" w:color="9DB7CC"/>
              <w:start w:val="single" w:sz="8" w:color="9DB7CC"/>
              <w:bottom w:val="single" w:sz="8" w:color="9DB7CC"/>
              <w:end w:val="single" w:sz="8" w:color="9DB7CC"/>
            </w:tcBorders>
          </w:tcPr>
          <w:p>
            <w:pPr>
              <w:spacing w:after="40"/>
              <w:ind w:firstLine="0"/>
              <w:jc w:val="center"/>
            </w:pPr>
            <w:r>
              <w:rPr>
                <w:rFonts w:ascii="맑은 고딕" w:hAnsi="맑은 고딕" w:eastAsia="맑은 고딕"/>
                <w:b/>
                <w:color w:val="123658"/>
                <w:sz w:val="19"/>
              </w:rPr>
              <w:t>IRR 결과</w:t>
            </w:r>
          </w:p>
          <w:p>
            <w:pPr>
              <w:spacing w:after="60"/>
              <w:ind w:firstLine="0"/>
              <w:jc w:val="center"/>
            </w:pPr>
            <w:r>
              <w:rPr>
                <w:rFonts w:ascii="맑은 고딕" w:hAnsi="맑은 고딕" w:eastAsia="맑은 고딕"/>
                <w:b/>
                <w:sz w:val="21"/>
              </w:rPr>
              <w:t>IRR ≈ 11.77% &gt; 요구수익률 10%</w:t>
            </w:r>
          </w:p>
          <w:p>
            <w:pPr>
              <w:spacing w:after="0"/>
              <w:ind w:firstLine="0"/>
              <w:jc w:val="center"/>
            </w:pPr>
            <w:r>
              <w:rPr>
                <w:rFonts w:ascii="맑은 고딕" w:hAnsi="맑은 고딕" w:eastAsia="맑은 고딕"/>
                <w:color w:val="464646"/>
                <w:sz w:val="17"/>
              </w:rPr>
              <w:t>NPV 기준과 IRR 기준이 모두 투자안 채택이라는 일관된 결론을 제시한다.</w:t>
            </w:r>
          </w:p>
        </w:tc>
      </w:tr>
    </w:tbl>
    <w:p>
      <w:pPr>
        <w:spacing w:after="0"/>
      </w:pPr>
    </w:p>
    <w:p>
      <w:r>
        <w:br w:type="page"/>
      </w:r>
    </w:p>
    <w:p>
      <w:pPr>
        <w:pStyle w:val="Heading2"/>
        <w:keepNext/>
        <w:spacing w:before="120" w:after="80"/>
        <w:ind w:firstLine="0"/>
        <w:jc w:val="left"/>
      </w:pPr>
      <w:r>
        <w:rPr>
          <w:rFonts w:ascii="맑은 고딕" w:hAnsi="맑은 고딕" w:eastAsia="맑은 고딕"/>
          <w:b/>
          <w:color w:val="265680"/>
          <w:sz w:val="24"/>
        </w:rPr>
        <w:t>6. 민감도 분석과 의사결정상 유의점</w:t>
      </w:r>
    </w:p>
    <w:p>
      <w:pPr>
        <w:pStyle w:val="Heading3"/>
        <w:keepNext/>
        <w:spacing w:before="120" w:after="80"/>
        <w:ind w:firstLine="0"/>
        <w:jc w:val="left"/>
      </w:pPr>
      <w:r>
        <w:rPr>
          <w:rFonts w:ascii="맑은 고딕" w:hAnsi="맑은 고딕" w:eastAsia="맑은 고딕"/>
          <w:b/>
          <w:color w:val="373737"/>
          <w:sz w:val="21"/>
        </w:rPr>
        <w:t>6.1 매출액 변화에 대한 민감도</w:t>
      </w:r>
    </w:p>
    <w:p>
      <w:pPr>
        <w:spacing w:after="80" w:before="0" w:line="341" w:lineRule="auto"/>
        <w:ind w:firstLine="369"/>
        <w:jc w:val="both"/>
      </w:pPr>
      <w:r>
        <w:rPr>
          <w:rFonts w:ascii="맑은 고딕" w:hAnsi="맑은 고딕" w:eastAsia="맑은 고딕"/>
          <w:sz w:val="21"/>
        </w:rPr>
        <w:t>투자안의 경제성은 매출예측에 크게 의존한다. 매출액을 기준안보다 2천만 원 낮은 3억 1천만 원으로 가정하면 연간 영업현금흐름은 1억 2천4백만 원으로 감소하고, NPV는 약 -3,399만 원, IRR은 약 7.71%가 된다. 반대로 매출액이 3억 5천만 원이면 연간 영업현금흐름은 1억 5천6백만 원으로 증가하고, NPV는 약 8,731만 원, IRR은 약 15.71%가 된다. 따라서 해당 투자안은 매출달성 여부에 민감하며, 경영자는 시장수요와 설비가동률에 대한 보수적 검증을 선행해야 한다.</w:t>
      </w:r>
    </w:p>
    <w:tbl>
      <w:tblPr>
        <w:tblW w:type="auto" w:w="0"/>
        <w:jc w:val="center"/>
        <w:tblLayout w:type="fixed"/>
        <w:tblLook w:firstColumn="1" w:firstRow="1" w:lastColumn="0" w:lastRow="0" w:noHBand="0" w:noVBand="1" w:val="04A0"/>
      </w:tblPr>
      <w:tblGrid>
        <w:gridCol w:w="1926"/>
        <w:gridCol w:w="1926"/>
        <w:gridCol w:w="1926"/>
        <w:gridCol w:w="1926"/>
        <w:gridCol w:w="1926"/>
      </w:tblGrid>
      <w:tr>
        <w:trPr>
          <w:tblHeader w:val="true"/>
          <w:cantSplit/>
        </w:trPr>
        <w:tc>
          <w:tcPr>
            <w:tcW w:type="dxa" w:w="187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시나리오</w:t>
            </w:r>
          </w:p>
        </w:tc>
        <w:tc>
          <w:tcPr>
            <w:tcW w:type="dxa" w:w="209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연매출(백만원)</w:t>
            </w:r>
          </w:p>
        </w:tc>
        <w:tc>
          <w:tcPr>
            <w:tcW w:type="dxa" w:w="209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연 OCF(백만원)</w:t>
            </w:r>
          </w:p>
        </w:tc>
        <w:tc>
          <w:tcPr>
            <w:tcW w:type="dxa" w:w="2098"/>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NPV(백만원)</w:t>
            </w:r>
          </w:p>
        </w:tc>
        <w:tc>
          <w:tcPr>
            <w:tcW w:type="dxa" w:w="170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7"/>
              </w:rPr>
              <w:t>IRR</w:t>
            </w:r>
          </w:p>
        </w:tc>
      </w:tr>
      <w:tr>
        <w:trPr>
          <w:cantSplit/>
        </w:trPr>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비관적</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310</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124</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-33.99</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7.71%</w:t>
            </w:r>
          </w:p>
        </w:tc>
      </w:tr>
      <w:tr>
        <w:trPr>
          <w:cantSplit/>
        </w:trPr>
        <w:tc>
          <w:tcPr>
            <w:tcW w:type="dxa" w:w="187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기준</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330</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140</w:t>
            </w:r>
          </w:p>
        </w:tc>
        <w:tc>
          <w:tcPr>
            <w:tcW w:type="dxa" w:w="2098"/>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26.66</w:t>
            </w:r>
          </w:p>
        </w:tc>
        <w:tc>
          <w:tcPr>
            <w:tcW w:type="dxa" w:w="1701"/>
            <w:shd w:fill="F4F7FA"/>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11.77%</w:t>
            </w:r>
          </w:p>
        </w:tc>
      </w:tr>
      <w:tr>
        <w:trPr>
          <w:cantSplit/>
        </w:trPr>
        <w:tc>
          <w:tcPr>
            <w:tcW w:type="dxa" w:w="187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7"/>
              </w:rPr>
              <w:t>낙관적</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350</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156</w:t>
            </w:r>
          </w:p>
        </w:tc>
        <w:tc>
          <w:tcPr>
            <w:tcW w:type="dxa" w:w="2098"/>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87.31</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7"/>
              </w:rPr>
              <w:t>15.71%</w:t>
            </w:r>
          </w:p>
        </w:tc>
      </w:tr>
    </w:tbl>
    <w:p>
      <w:pPr>
        <w:spacing w:after="0"/>
      </w:pPr>
    </w:p>
    <w:p>
      <w:pPr>
        <w:pStyle w:val="Heading3"/>
        <w:keepNext/>
        <w:spacing w:before="120" w:after="80"/>
        <w:ind w:firstLine="0"/>
        <w:jc w:val="left"/>
      </w:pPr>
      <w:r>
        <w:rPr>
          <w:rFonts w:ascii="맑은 고딕" w:hAnsi="맑은 고딕" w:eastAsia="맑은 고딕"/>
          <w:b/>
          <w:color w:val="373737"/>
          <w:sz w:val="21"/>
        </w:rPr>
        <w:t>6.2 할인율 변화에 대한 민감도</w:t>
      </w:r>
    </w:p>
    <w:p>
      <w:pPr>
        <w:spacing w:after="80" w:before="0" w:line="341" w:lineRule="auto"/>
        <w:ind w:firstLine="369"/>
        <w:jc w:val="both"/>
      </w:pPr>
      <w:r>
        <w:rPr>
          <w:rFonts w:ascii="맑은 고딕" w:hAnsi="맑은 고딕" w:eastAsia="맑은 고딕"/>
          <w:sz w:val="21"/>
        </w:rPr>
        <w:t>할인율은 투자위험과 자금조달환경을 반영한다. 동일한 현금흐름이라도 할인율이 8%이면 NPV는 약 5,934만 원으로 증가하지만, 12%이면 약 -334만 원으로 전환되고, 14%이면 약 -3,094만 원까지 감소한다. 기준안의 IRR이 11.77%이므로 할인율이 이를 초과하는 순간 NPV는 음수가 된다. 이는 투자위험이 예상보다 커지거나 자본비용이 상승할 경우 경제성이 빠르게 약화될 수 있음을 의미한다(Damodaran, 2012).</w:t>
      </w:r>
    </w:p>
    <w:tbl>
      <w:tblPr>
        <w:tblW w:type="auto" w:w="0"/>
        <w:jc w:val="center"/>
        <w:tblLayout w:type="fixed"/>
        <w:tblLook w:firstColumn="1" w:firstRow="1" w:lastColumn="0" w:lastRow="0" w:noHBand="0" w:noVBand="1" w:val="04A0"/>
      </w:tblPr>
      <w:tblGrid>
        <w:gridCol w:w="1926"/>
        <w:gridCol w:w="1926"/>
        <w:gridCol w:w="1926"/>
        <w:gridCol w:w="1926"/>
        <w:gridCol w:w="1926"/>
      </w:tblGrid>
      <w:tr>
        <w:trPr>
          <w:tblHeader w:val="true"/>
          <w:cantSplit/>
        </w:trPr>
        <w:tc>
          <w:tcPr>
            <w:tcW w:type="dxa" w:w="238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할인율</w:t>
            </w:r>
          </w:p>
        </w:tc>
        <w:tc>
          <w:tcPr>
            <w:tcW w:type="dxa" w:w="170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8%</w:t>
            </w:r>
          </w:p>
        </w:tc>
        <w:tc>
          <w:tcPr>
            <w:tcW w:type="dxa" w:w="170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10%</w:t>
            </w:r>
          </w:p>
        </w:tc>
        <w:tc>
          <w:tcPr>
            <w:tcW w:type="dxa" w:w="170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12%</w:t>
            </w:r>
          </w:p>
        </w:tc>
        <w:tc>
          <w:tcPr>
            <w:tcW w:type="dxa" w:w="1701"/>
            <w:shd w:fill="173B5E"/>
            <w:tcMar>
              <w:top w:w="70" w:type="dxa"/>
              <w:start w:w="70" w:type="dxa"/>
              <w:bottom w:w="70" w:type="dxa"/>
              <w:end w:w="70" w:type="dxa"/>
            </w:tcMar>
            <w:vAlign w:val="center"/>
          </w:tcPr>
          <w:p>
            <w:pPr>
              <w:spacing w:after="0"/>
              <w:ind w:firstLine="0"/>
              <w:jc w:val="center"/>
            </w:pPr>
            <w:r>
              <w:rPr>
                <w:rFonts w:ascii="맑은 고딕" w:hAnsi="맑은 고딕" w:eastAsia="맑은 고딕"/>
                <w:b/>
                <w:color w:val="FFFFFF"/>
                <w:sz w:val="18"/>
              </w:rPr>
              <w:t>14%</w:t>
            </w:r>
          </w:p>
        </w:tc>
      </w:tr>
      <w:tr>
        <w:trPr>
          <w:cantSplit/>
        </w:trPr>
        <w:tc>
          <w:tcPr>
            <w:tcW w:type="dxa" w:w="238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left"/>
            </w:pPr>
            <w:r>
              <w:rPr>
                <w:rFonts w:ascii="맑은 고딕" w:hAnsi="맑은 고딕" w:eastAsia="맑은 고딕"/>
                <w:sz w:val="18"/>
              </w:rPr>
              <w:t>NPV(백만원)</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59.34</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26.66</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-3.34</w:t>
            </w:r>
          </w:p>
        </w:tc>
        <w:tc>
          <w:tcPr>
            <w:tcW w:type="dxa" w:w="1701"/>
            <w:tcMar>
              <w:top w:w="60" w:type="dxa"/>
              <w:start w:w="65" w:type="dxa"/>
              <w:bottom w:w="60" w:type="dxa"/>
              <w:end w:w="65" w:type="dxa"/>
            </w:tcMar>
            <w:vAlign w:val="center"/>
            <w:tcBorders>
              <w:top w:val="single" w:sz="3" w:color="CBD5DE"/>
              <w:bottom w:val="single" w:sz="3" w:color="CBD5DE"/>
              <w:start w:val="single" w:sz="3" w:color="CBD5DE"/>
              <w:end w:val="single" w:sz="3" w:color="CBD5DE"/>
            </w:tcBorders>
          </w:tcPr>
          <w:p>
            <w:pPr>
              <w:spacing w:after="0"/>
              <w:ind w:firstLine="0"/>
              <w:jc w:val="center"/>
            </w:pPr>
            <w:r>
              <w:rPr>
                <w:rFonts w:ascii="맑은 고딕" w:hAnsi="맑은 고딕" w:eastAsia="맑은 고딕"/>
                <w:sz w:val="18"/>
              </w:rPr>
              <w:t>-30.94</w:t>
            </w:r>
          </w:p>
        </w:tc>
      </w:tr>
    </w:tbl>
    <w:p>
      <w:pPr>
        <w:spacing w:after="0"/>
      </w:pPr>
    </w:p>
    <w:p>
      <w:pPr>
        <w:pStyle w:val="Heading3"/>
        <w:keepNext/>
        <w:spacing w:before="120" w:after="80"/>
        <w:ind w:firstLine="0"/>
        <w:jc w:val="left"/>
      </w:pPr>
      <w:r>
        <w:rPr>
          <w:rFonts w:ascii="맑은 고딕" w:hAnsi="맑은 고딕" w:eastAsia="맑은 고딕"/>
          <w:b/>
          <w:color w:val="373737"/>
          <w:sz w:val="21"/>
        </w:rPr>
        <w:t>6.3 평가기법 적용 시 유의점</w:t>
      </w:r>
    </w:p>
    <w:p>
      <w:pPr>
        <w:spacing w:after="80" w:before="0" w:line="341" w:lineRule="auto"/>
        <w:ind w:firstLine="369"/>
        <w:jc w:val="both"/>
      </w:pPr>
      <w:r>
        <w:rPr>
          <w:rFonts w:ascii="맑은 고딕" w:hAnsi="맑은 고딕" w:eastAsia="맑은 고딕"/>
          <w:sz w:val="21"/>
        </w:rPr>
        <w:t>첫째, 현금흐름 추정치는 단일값이 아니라 가능한 범위와 발생확률을 함께 검토할 필요가 있다. 둘째, 설비투자로 기존 제품 매출이 감소하는 잠식효과나 품질개선으로 반품비용이 줄어드는 간접효과도 증분현금흐름에 포함해야 한다. 셋째, 기준할인율은 모든 투자안에 기계적으로 동일하게 적용하기보다 사업위험, 국가위험, 기술위험을 반영하여 조정해야 한다. 넷째, NPV와 IRR만으로 전략적 가치, 환경·안전 효과, 기술학습, 공급망 안정성 등을 완전히 설명할 수 없으므로 정성적 판단을 병행해야 한다.</w:t>
      </w:r>
    </w:p>
    <w:p>
      <w:r>
        <w:br w:type="page"/>
      </w:r>
    </w:p>
    <w:p>
      <w:pPr>
        <w:pStyle w:val="Heading1"/>
        <w:keepNext/>
        <w:spacing w:before="180" w:after="80"/>
        <w:ind w:firstLine="0"/>
        <w:jc w:val="left"/>
      </w:pPr>
      <w:r>
        <w:rPr>
          <w:rFonts w:ascii="맑은 고딕" w:hAnsi="맑은 고딕" w:eastAsia="맑은 고딕"/>
          <w:b/>
          <w:color w:val="123658"/>
          <w:sz w:val="30"/>
        </w:rPr>
        <w:t>Ⅲ. 결론</w:t>
      </w:r>
    </w:p>
    <w:p>
      <w:pPr>
        <w:spacing w:after="80" w:before="0" w:line="341" w:lineRule="auto"/>
        <w:ind w:firstLine="369"/>
        <w:jc w:val="both"/>
      </w:pPr>
      <w:r>
        <w:rPr>
          <w:rFonts w:ascii="맑은 고딕" w:hAnsi="맑은 고딕" w:eastAsia="맑은 고딕"/>
          <w:sz w:val="21"/>
        </w:rPr>
        <w:t>본 과제는 A제조기업의 자동화 설비 도입을 가정하여 투자현금흐름을 추정하고 NPV와 IRR을 이용해 경제성을 분석하였다. 초기투자액은 설비 및 설치비 5억 2천만 원과 순운전자본 3천만 원을 합한 5억 5천만 원으로 산정하였다. 정액법 감가상각과 법인세효과를 반영한 연간 영업현금흐름은 1억 4천만 원이며, 5년 말에는 세후 처분대금과 운전자본 회수액 7천4백만 원이 추가된다. 이에 따라 현금흐름은 0년 -5억 5천만 원, 1~4년 각 1억 4천만 원, 5년 2억 1천4백만 원으로 추정되었다.</w:t>
      </w:r>
    </w:p>
    <w:p>
      <w:pPr>
        <w:spacing w:after="80" w:before="0" w:line="341" w:lineRule="auto"/>
        <w:ind w:firstLine="369"/>
        <w:jc w:val="both"/>
      </w:pPr>
      <w:r>
        <w:rPr>
          <w:rFonts w:ascii="맑은 고딕" w:hAnsi="맑은 고딕" w:eastAsia="맑은 고딕"/>
          <w:sz w:val="21"/>
        </w:rPr>
        <w:t>요구수익률 10%를 적용한 NPV는 약 2,666만 원으로 양수이며, IRR은 약 11.77%로 요구수익률보다 높다. 따라서 기준 시나리오에서는 투자안이 자본비용을 보상하고 기업가치를 증가시키므로 채택하는 것이 타당하다. 다만 기준 NPV의 여유가 초기투자액에 비해 크지 않고, 매출액이 3억 1천만 원으로 감소하면 NPV가 음수로 전환되므로 투자안은 수요변화에 민감하다. 단순히 기준 시나리오의 수치만 확인하기보다 매출계약, 가동률, 원가절감 가능성, 설비 처분가치 등을 지속적으로 점검해야 한다.</w:t>
      </w:r>
    </w:p>
    <w:p>
      <w:pPr>
        <w:spacing w:after="80" w:before="0" w:line="341" w:lineRule="auto"/>
        <w:ind w:firstLine="369"/>
        <w:jc w:val="both"/>
      </w:pPr>
      <w:r>
        <w:rPr>
          <w:rFonts w:ascii="맑은 고딕" w:hAnsi="맑은 고딕" w:eastAsia="맑은 고딕"/>
          <w:sz w:val="21"/>
        </w:rPr>
        <w:t>개인적으로 투자평가에서 가장 중요한 것은 계산기법 자체보다 현금흐름 가정의 현실성이라고 판단한다. NPV와 IRR은 입력된 예측치를 논리적으로 정리하는 강력한 도구이지만, 과도하게 낙관적인 매출전망이나 비용 누락이 있으면 정교한 계산도 잘못된 결론을 만들 수 있다. 따라서 실제 기업은 영업·생산·재무 부서가 공동으로 가정을 검증하고, 기준·비관·낙관 시나리오를 비교하며, 투자 집행 후에도 실제 현금흐름을 사후평가해야 한다. 상호배타적인 투자안의 순위가 충돌할 경우에는 기업가치 증가액을 직접 제시하는 NPV를 우선하고, IRR은 수익률 관점의 보조지표로 활용하는 것이 합리적이다.</w:t>
      </w:r>
    </w:p>
    <w:p>
      <w:pPr>
        <w:pStyle w:val="Heading1"/>
        <w:keepNext/>
        <w:spacing w:before="180" w:after="80"/>
        <w:ind w:firstLine="0"/>
        <w:jc w:val="left"/>
      </w:pPr>
      <w:r>
        <w:rPr>
          <w:rFonts w:ascii="맑은 고딕" w:hAnsi="맑은 고딕" w:eastAsia="맑은 고딕"/>
          <w:b/>
          <w:color w:val="123658"/>
          <w:sz w:val="30"/>
        </w:rPr>
        <w:t>참고문헌</w:t>
      </w:r>
    </w:p>
    <w:p>
      <w:pPr>
        <w:spacing w:line="324" w:lineRule="auto" w:after="100"/>
        <w:ind w:left="454" w:hanging="454"/>
      </w:pPr>
      <w:r>
        <w:rPr>
          <w:rFonts w:ascii="맑은 고딕" w:hAnsi="맑은 고딕" w:eastAsia="맑은 고딕"/>
          <w:sz w:val="19"/>
        </w:rPr>
        <w:t>Berk, J., &amp; DeMarzo, P. (2020). Corporate finance (5th ed.). Pearson.</w:t>
      </w:r>
    </w:p>
    <w:p>
      <w:pPr>
        <w:spacing w:line="324" w:lineRule="auto" w:after="100"/>
        <w:ind w:left="454" w:hanging="454"/>
      </w:pPr>
      <w:r>
        <w:rPr>
          <w:rFonts w:ascii="맑은 고딕" w:hAnsi="맑은 고딕" w:eastAsia="맑은 고딕"/>
          <w:sz w:val="19"/>
        </w:rPr>
        <w:t>Brealey, R. A., Myers, S. C., &amp; Allen, F. (2020). Principles of corporate finance (13th ed.). McGraw-Hill Education.</w:t>
      </w:r>
    </w:p>
    <w:p>
      <w:pPr>
        <w:spacing w:line="324" w:lineRule="auto" w:after="100"/>
        <w:ind w:left="454" w:hanging="454"/>
      </w:pPr>
      <w:r>
        <w:rPr>
          <w:rFonts w:ascii="맑은 고딕" w:hAnsi="맑은 고딕" w:eastAsia="맑은 고딕"/>
          <w:sz w:val="19"/>
        </w:rPr>
        <w:t>Damodaran, A. (2012). Investment valuation: Tools and techniques for determining the value of any asset (3rd ed.). Wiley.</w:t>
      </w:r>
    </w:p>
    <w:p>
      <w:pPr>
        <w:spacing w:line="324" w:lineRule="auto" w:after="100"/>
        <w:ind w:left="454" w:hanging="454"/>
      </w:pPr>
      <w:r>
        <w:rPr>
          <w:rFonts w:ascii="맑은 고딕" w:hAnsi="맑은 고딕" w:eastAsia="맑은 고딕"/>
          <w:sz w:val="19"/>
        </w:rPr>
        <w:t>Ross, S. A., Westerfield, R. W., &amp; Jordan, B. D. (2022). Fundamentals of corporate finance (13th ed.). McGraw-Hill Education.</w:t>
      </w:r>
    </w:p>
    <w:p>
      <w:pPr>
        <w:spacing w:line="324" w:lineRule="auto" w:after="100"/>
        <w:ind w:left="454" w:hanging="454"/>
      </w:pPr>
      <w:r>
        <w:rPr>
          <w:rFonts w:ascii="맑은 고딕" w:hAnsi="맑은 고딕" w:eastAsia="맑은 고딕"/>
          <w:sz w:val="19"/>
        </w:rPr>
        <w:t>한국회계기준원. (2024). 한국채택국제회계기준(K-IFRS) 제1007호 현금흐름표.</w:t>
      </w:r>
    </w:p>
    <w:p>
      <w:r>
        <w:br w:type="page"/>
      </w:r>
    </w:p>
    <w:p>
      <w:pPr>
        <w:spacing w:before="400" w:after="360"/>
        <w:ind w:firstLine="0"/>
        <w:jc w:val="center"/>
      </w:pPr>
      <w:r>
        <w:rPr>
          <w:rFonts w:ascii="맑은 고딕" w:hAnsi="맑은 고딕" w:eastAsia="맑은 고딕"/>
          <w:b/>
          <w:color w:val="123658"/>
          <w:sz w:val="38"/>
        </w:rPr>
        <w:t>과제 활용 전 반드시 확인해 주세요</w:t>
      </w:r>
    </w:p>
    <w:tbl>
      <w:tblPr>
        <w:tblW w:type="auto" w:w="0"/>
        <w:jc w:val="center"/>
        <w:tblLook w:firstColumn="1" w:firstRow="1" w:lastColumn="0" w:lastRow="0" w:noHBand="0" w:noVBand="1" w:val="04A0"/>
      </w:tblPr>
      <w:tblGrid>
        <w:gridCol w:w="9632"/>
      </w:tblGrid>
      <w:tr>
        <w:trPr>
          <w:cantSplit/>
        </w:trPr>
        <w:tc>
          <w:tcPr>
            <w:tcW w:type="dxa" w:w="9632"/>
            <w:shd w:fill="FFF1F0"/>
            <w:tcMar>
              <w:top w:w="260" w:type="dxa"/>
              <w:start w:w="300" w:type="dxa"/>
              <w:bottom w:w="260" w:type="dxa"/>
              <w:end w:w="300" w:type="dxa"/>
            </w:tcMar>
            <w:tcBorders>
              <w:top w:val="single" w:sz="10" w:color="D9534F"/>
              <w:start w:val="single" w:sz="10" w:color="D9534F"/>
              <w:bottom w:val="single" w:sz="10" w:color="D9534F"/>
              <w:end w:val="single" w:sz="10" w:color="D9534F"/>
            </w:tcBorders>
          </w:tcPr>
          <w:p>
            <w:pPr>
              <w:spacing w:after="240"/>
              <w:ind w:firstLine="0"/>
            </w:pPr>
            <w:r>
              <w:rPr>
                <w:rFonts w:ascii="맑은 고딕" w:hAnsi="맑은 고딕" w:eastAsia="맑은 고딕"/>
                <w:b/>
                <w:color w:val="A0231E"/>
                <w:sz w:val="28"/>
              </w:rPr>
              <w:t>⚠️ 주의사항</w:t>
            </w:r>
          </w:p>
          <w:p>
            <w:pPr>
              <w:spacing w:line="372" w:lineRule="auto" w:after="0"/>
              <w:ind w:firstLine="0"/>
            </w:pPr>
            <w:r>
              <w:rPr>
                <w:rFonts w:ascii="맑은 고딕" w:hAnsi="맑은 고딕" w:eastAsia="맑은 고딕"/>
                <w:b/>
                <w:color w:val="462D2D"/>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after="240"/>
      </w:pPr>
    </w:p>
    <w:tbl>
      <w:tblPr>
        <w:tblW w:type="auto" w:w="0"/>
        <w:jc w:val="center"/>
        <w:tblLook w:firstColumn="1" w:firstRow="1" w:lastColumn="0" w:lastRow="0" w:noHBand="0" w:noVBand="1" w:val="04A0"/>
      </w:tblPr>
      <w:tblGrid>
        <w:gridCol w:w="9632"/>
      </w:tblGrid>
      <w:tr>
        <w:trPr>
          <w:cantSplit/>
        </w:trPr>
        <w:tc>
          <w:tcPr>
            <w:tcW w:type="dxa" w:w="9632"/>
            <w:shd w:fill="EEF5FB"/>
            <w:tcMar>
              <w:top w:w="250" w:type="dxa"/>
              <w:start w:w="300" w:type="dxa"/>
              <w:bottom w:w="250" w:type="dxa"/>
              <w:end w:w="300" w:type="dxa"/>
            </w:tcMar>
            <w:tcBorders>
              <w:top w:val="single" w:sz="10" w:color="4F86B5"/>
              <w:start w:val="single" w:sz="10" w:color="4F86B5"/>
              <w:bottom w:val="single" w:sz="10" w:color="4F86B5"/>
              <w:end w:val="single" w:sz="10" w:color="4F86B5"/>
            </w:tcBorders>
          </w:tcPr>
          <w:p>
            <w:pPr>
              <w:spacing w:after="200"/>
              <w:ind w:firstLine="0"/>
            </w:pPr>
            <w:r>
              <w:rPr>
                <w:rFonts w:ascii="맑은 고딕" w:hAnsi="맑은 고딕" w:eastAsia="맑은 고딕"/>
                <w:b/>
                <w:color w:val="123658"/>
                <w:sz w:val="28"/>
              </w:rPr>
              <w:t>📌 과제 수정이 어려우신가요?</w:t>
            </w:r>
          </w:p>
          <w:p>
            <w:pPr>
              <w:spacing w:after="100"/>
              <w:ind w:firstLine="0"/>
            </w:pPr>
            <w:r>
              <w:rPr>
                <w:rFonts w:ascii="맑은 고딕" w:hAnsi="맑은 고딕" w:eastAsia="맑은 고딕"/>
                <w:b w:val="0"/>
                <w:sz w:val="21"/>
              </w:rPr>
              <w:t>국민원격교육관리센터에서 1:1 과제 수정 도움을 드립니다.</w:t>
            </w:r>
          </w:p>
          <w:p>
            <w:pPr>
              <w:spacing w:after="100"/>
              <w:ind w:firstLine="0"/>
            </w:pPr>
            <w:r>
              <w:rPr>
                <w:rFonts w:ascii="맑은 고딕" w:hAnsi="맑은 고딕" w:eastAsia="맑은 고딕"/>
                <w:b w:val="0"/>
                <w:sz w:val="21"/>
              </w:rPr>
              <w:t>아래 연락처로 문의해 주세요.</w:t>
            </w:r>
          </w:p>
          <w:p>
            <w:pPr>
              <w:spacing w:after="40"/>
              <w:ind w:firstLine="0"/>
            </w:pPr>
            <w:r>
              <w:rPr>
                <w:rFonts w:ascii="맑은 고딕" w:hAnsi="맑은 고딕" w:eastAsia="맑은 고딕"/>
                <w:b w:val="0"/>
                <w:sz w:val="21"/>
              </w:rPr>
            </w:r>
          </w:p>
          <w:p>
            <w:pPr>
              <w:spacing w:after="100"/>
              <w:ind w:firstLine="0"/>
            </w:pPr>
            <w:r>
              <w:rPr>
                <w:rFonts w:ascii="맑은 고딕" w:hAnsi="맑은 고딕" w:eastAsia="맑은 고딕"/>
                <w:b/>
                <w:sz w:val="21"/>
              </w:rPr>
              <w:t>📞 전화: 050-7878-7044</w:t>
            </w:r>
          </w:p>
          <w:p>
            <w:pPr>
              <w:spacing w:after="100"/>
              <w:ind w:firstLine="0"/>
            </w:pPr>
            <w:r>
              <w:rPr>
                <w:rFonts w:ascii="맑은 고딕" w:hAnsi="맑은 고딕" w:eastAsia="맑은 고딕"/>
                <w:b/>
                <w:sz w:val="21"/>
              </w:rPr>
              <w:t>💬 카카오톡: @국민원격교육관리센터</w:t>
            </w:r>
          </w:p>
          <w:p>
            <w:pPr>
              <w:spacing w:after="100"/>
              <w:ind w:firstLine="0"/>
            </w:pPr>
            <w:r>
              <w:rPr>
                <w:rFonts w:ascii="맑은 고딕" w:hAnsi="맑은 고딕" w:eastAsia="맑은 고딕"/>
                <w:b/>
                <w:sz w:val="21"/>
              </w:rPr>
              <w:t>🕐 운영시간: 평일 10:00–19:00</w:t>
            </w:r>
          </w:p>
          <w:p>
            <w:pPr>
              <w:spacing w:after="100"/>
              <w:ind w:firstLine="0"/>
            </w:pPr>
            <w:r>
              <w:rPr>
                <w:rFonts w:ascii="맑은 고딕" w:hAnsi="맑은 고딕" w:eastAsia="맑은 고딕"/>
                <w:b/>
                <w:sz w:val="21"/>
              </w:rPr>
              <w:t>🌐 웹사이트: korealms.co.kr</w:t>
            </w:r>
          </w:p>
        </w:tc>
      </w:tr>
    </w:tbl>
    <w:sectPr w:rsidR="00FC693F" w:rsidRPr="0006063C" w:rsidSect="00034616">
      <w:footerReference w:type="default" r:id="rId9"/>
      <w:pgSz w:w="12240" w:h="15840"/>
      <w:pgMar w:top="1191" w:right="1304" w:bottom="1020" w:left="1304"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맑은 고딕" w:hAnsi="맑은 고딕" w:eastAsia="맑은 고딕"/>
        <w:color w:val="6E6E6E"/>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1" w:lineRule="auto" w:after="80"/>
    </w:pPr>
    <w:rPr>
      <w:rFonts w:ascii="맑은 고딕" w:hAnsi="맑은 고딕" w:eastAsia="맑은 고딕"/>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맑은 고딕" w:hAnsi="맑은 고딕" w:eastAsia="맑은 고딕"/>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맑은 고딕" w:hAnsi="맑은 고딕" w:eastAsia="맑은 고딕"/>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맑은 고딕" w:hAnsi="맑은 고딕" w:eastAsia="맑은 고딕"/>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기업의 투자활동을 바탕으로 한 현금흐름 추정과 NPV 및 IRR 경제성 분석</dc:title>
  <dc:subject>재무관리 학점은행제 과제 참고용 샘플</dc:subject>
  <dc:creator>국민원격교육관리센터</dc:creator>
  <cp:keywords>재무관리, 투자활동, 현금흐름, NPV, IRR, 경제성분석</cp:keywords>
  <dc:description>generated by python-docx</dc:description>
  <cp:lastModifiedBy/>
  <cp:revision>1</cp:revision>
  <dcterms:created xsi:type="dcterms:W3CDTF">2013-12-23T23:15:00Z</dcterms:created>
  <dcterms:modified xsi:type="dcterms:W3CDTF">2013-12-23T23:15:00Z</dcterms:modified>
  <cp:category/>
</cp:coreProperties>
</file>