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600"/>
        <w:jc w:val="center"/>
      </w:pPr>
      <w:r>
        <w:rPr>
          <w:rFonts w:ascii="Noto Sans CJK KR" w:hAnsi="Noto Sans CJK KR" w:eastAsia="Noto Sans CJK KR"/>
          <w:b/>
          <w:color w:val="AD822D"/>
          <w:sz w:val="26"/>
        </w:rPr>
        <w:t>인력개발과활용</w:t>
      </w:r>
    </w:p>
    <w:p>
      <w:pPr>
        <w:spacing w:before="400" w:after="160"/>
        <w:jc w:val="center"/>
      </w:pPr>
      <w:r>
        <w:rPr>
          <w:rFonts w:ascii="Noto Sans CJK KR" w:hAnsi="Noto Sans CJK KR" w:eastAsia="Noto Sans CJK KR"/>
          <w:b/>
          <w:color w:val="203748"/>
          <w:sz w:val="56"/>
        </w:rPr>
        <w:t>과 제 보 고 서</w:t>
      </w:r>
    </w:p>
    <w:p>
      <w:pPr>
        <w:spacing w:after="120"/>
        <w:jc w:val="center"/>
      </w:pPr>
      <w:r>
        <w:rPr>
          <w:rFonts w:ascii="Noto Sans CJK KR" w:hAnsi="Noto Sans CJK KR" w:eastAsia="Noto Sans CJK KR"/>
          <w:b/>
          <w:color w:val="2B5163"/>
          <w:sz w:val="30"/>
        </w:rPr>
        <w:t>인력의 외부 영입과 내부 육성의 장단점 및 삼성전자의 인력 유동 시스템</w:t>
      </w:r>
    </w:p>
    <w:p>
      <w:pPr>
        <w:spacing w:after="600"/>
        <w:jc w:val="center"/>
      </w:pPr>
      <w:r>
        <w:rPr>
          <w:rFonts w:ascii="Noto Sans CJK KR" w:hAnsi="Noto Sans CJK KR" w:eastAsia="Noto Sans CJK KR"/>
          <w:b w:val="0"/>
          <w:color w:val="5C656C"/>
          <w:sz w:val="21"/>
        </w:rPr>
        <w:t>위더스 평생교육원</w:t>
      </w:r>
    </w:p>
    <w:p>
      <w:pPr>
        <w:spacing w:after="240"/>
        <w:jc w:val="center"/>
      </w:pPr>
      <w:r>
        <w:rPr>
          <w:rFonts w:ascii="Noto Sans CJK KR" w:hAnsi="Noto Sans CJK KR" w:eastAsia="Noto Sans CJK KR"/>
          <w:b/>
          <w:color w:val="203748"/>
          <w:sz w:val="32"/>
        </w:rPr>
        <w:t>목    차</w:t>
      </w:r>
    </w:p>
    <w:tbl>
      <w:tblPr>
        <w:tblW w:type="auto" w:w="0"/>
        <w:jc w:val="center"/>
        <w:tblLayout w:type="fixed"/>
        <w:tblLook w:firstColumn="1" w:firstRow="1" w:lastColumn="0" w:lastRow="0" w:noHBand="0" w:noVBand="1" w:val="04A0"/>
      </w:tblPr>
      <w:tblGrid>
        <w:gridCol w:w="4536"/>
        <w:gridCol w:w="4536"/>
      </w:tblGrid>
      <w:tr>
        <w:tc>
          <w:tcPr>
            <w:tcW w:type="dxa" w:w="7087"/>
            <w:tcMar>
              <w:top w:w="80" w:type="dxa"/>
              <w:start w:w="90" w:type="dxa"/>
              <w:bottom w:w="80" w:type="dxa"/>
              <w:end w:w="90" w:type="dxa"/>
            </w:tcMar>
            <w:vAlign w:val="center"/>
            <w:shd w:fill="EEF3F6"/>
          </w:tcPr>
          <w:p>
            <w:pPr>
              <w:spacing w:after="0"/>
              <w:ind w:firstLine="0"/>
              <w:jc w:val="left"/>
            </w:pPr>
            <w:r>
              <w:rPr>
                <w:rFonts w:ascii="Noto Sans CJK KR" w:hAnsi="Noto Sans CJK KR" w:eastAsia="Noto Sans CJK KR"/>
                <w:b/>
                <w:color w:val="203748"/>
                <w:sz w:val="21"/>
              </w:rPr>
              <w:t>Ⅰ. 서론</w:t>
            </w:r>
          </w:p>
        </w:tc>
        <w:tc>
          <w:tcPr>
            <w:tcW w:type="dxa" w:w="850"/>
            <w:tcMar>
              <w:top w:w="80" w:type="dxa"/>
              <w:start w:w="90" w:type="dxa"/>
              <w:bottom w:w="80" w:type="dxa"/>
              <w:end w:w="90" w:type="dxa"/>
            </w:tcMar>
            <w:vAlign w:val="center"/>
            <w:shd w:fill="EEF3F6"/>
          </w:tcPr>
          <w:p>
            <w:pPr>
              <w:spacing w:after="0"/>
              <w:ind w:firstLine="0"/>
              <w:jc w:val="center"/>
            </w:pPr>
            <w:r>
              <w:rPr>
                <w:rFonts w:ascii="Noto Sans CJK KR" w:hAnsi="Noto Sans CJK KR" w:eastAsia="Noto Sans CJK KR"/>
                <w:b/>
                <w:color w:val="203748"/>
                <w:sz w:val="21"/>
              </w:rPr>
              <w:t>2</w:t>
            </w:r>
          </w:p>
        </w:tc>
      </w:tr>
      <w:tr>
        <w:tc>
          <w:tcPr>
            <w:tcW w:type="dxa" w:w="7087"/>
            <w:tcMar>
              <w:top w:w="80" w:type="dxa"/>
              <w:start w:w="90" w:type="dxa"/>
              <w:bottom w:w="80" w:type="dxa"/>
              <w:end w:w="90" w:type="dxa"/>
            </w:tcMar>
            <w:vAlign w:val="center"/>
          </w:tcPr>
          <w:p>
            <w:pPr>
              <w:spacing w:after="0"/>
              <w:ind w:firstLine="0"/>
              <w:jc w:val="left"/>
            </w:pPr>
            <w:r>
              <w:rPr>
                <w:rFonts w:ascii="Noto Sans CJK KR" w:hAnsi="Noto Sans CJK KR" w:eastAsia="Noto Sans CJK KR"/>
                <w:b w:val="0"/>
                <w:color w:val="000000"/>
                <w:sz w:val="21"/>
              </w:rPr>
              <w:t>Ⅱ. 외부 영입의 의미와 장단점</w:t>
            </w:r>
          </w:p>
        </w:tc>
        <w:tc>
          <w:tcPr>
            <w:tcW w:type="dxa" w:w="850"/>
            <w:tcMar>
              <w:top w:w="80" w:type="dxa"/>
              <w:start w:w="90" w:type="dxa"/>
              <w:bottom w:w="80" w:type="dxa"/>
              <w:end w:w="90" w:type="dxa"/>
            </w:tcMar>
            <w:vAlign w:val="center"/>
          </w:tcPr>
          <w:p>
            <w:pPr>
              <w:spacing w:after="0"/>
              <w:ind w:firstLine="0"/>
              <w:jc w:val="center"/>
            </w:pPr>
            <w:r>
              <w:rPr>
                <w:rFonts w:ascii="Noto Sans CJK KR" w:hAnsi="Noto Sans CJK KR" w:eastAsia="Noto Sans CJK KR"/>
                <w:b w:val="0"/>
                <w:color w:val="000000"/>
                <w:sz w:val="21"/>
              </w:rPr>
              <w:t>2</w:t>
            </w:r>
          </w:p>
        </w:tc>
      </w:tr>
      <w:tr>
        <w:tc>
          <w:tcPr>
            <w:tcW w:type="dxa" w:w="7087"/>
            <w:tcMar>
              <w:top w:w="80" w:type="dxa"/>
              <w:start w:w="90" w:type="dxa"/>
              <w:bottom w:w="80" w:type="dxa"/>
              <w:end w:w="90" w:type="dxa"/>
            </w:tcMar>
            <w:vAlign w:val="center"/>
            <w:shd w:fill="EEF3F6"/>
          </w:tcPr>
          <w:p>
            <w:pPr>
              <w:spacing w:after="0"/>
              <w:ind w:firstLine="0"/>
              <w:jc w:val="left"/>
            </w:pPr>
            <w:r>
              <w:rPr>
                <w:rFonts w:ascii="Noto Sans CJK KR" w:hAnsi="Noto Sans CJK KR" w:eastAsia="Noto Sans CJK KR"/>
                <w:b w:val="0"/>
                <w:color w:val="000000"/>
                <w:sz w:val="21"/>
              </w:rPr>
              <w:t>Ⅲ. 내부 육성의 의미와 장단점</w:t>
            </w:r>
          </w:p>
        </w:tc>
        <w:tc>
          <w:tcPr>
            <w:tcW w:type="dxa" w:w="850"/>
            <w:tcMar>
              <w:top w:w="80" w:type="dxa"/>
              <w:start w:w="90" w:type="dxa"/>
              <w:bottom w:w="80" w:type="dxa"/>
              <w:end w:w="90" w:type="dxa"/>
            </w:tcMar>
            <w:vAlign w:val="center"/>
            <w:shd w:fill="EEF3F6"/>
          </w:tcPr>
          <w:p>
            <w:pPr>
              <w:spacing w:after="0"/>
              <w:ind w:firstLine="0"/>
              <w:jc w:val="center"/>
            </w:pPr>
            <w:r>
              <w:rPr>
                <w:rFonts w:ascii="Noto Sans CJK KR" w:hAnsi="Noto Sans CJK KR" w:eastAsia="Noto Sans CJK KR"/>
                <w:b w:val="0"/>
                <w:color w:val="000000"/>
                <w:sz w:val="21"/>
              </w:rPr>
              <w:t>3</w:t>
            </w:r>
          </w:p>
        </w:tc>
      </w:tr>
      <w:tr>
        <w:tc>
          <w:tcPr>
            <w:tcW w:type="dxa" w:w="7087"/>
            <w:tcMar>
              <w:top w:w="80" w:type="dxa"/>
              <w:start w:w="90" w:type="dxa"/>
              <w:bottom w:w="80" w:type="dxa"/>
              <w:end w:w="90" w:type="dxa"/>
            </w:tcMar>
            <w:vAlign w:val="center"/>
          </w:tcPr>
          <w:p>
            <w:pPr>
              <w:spacing w:after="0"/>
              <w:ind w:firstLine="0"/>
              <w:jc w:val="left"/>
            </w:pPr>
            <w:r>
              <w:rPr>
                <w:rFonts w:ascii="Noto Sans CJK KR" w:hAnsi="Noto Sans CJK KR" w:eastAsia="Noto Sans CJK KR"/>
                <w:b w:val="0"/>
                <w:color w:val="000000"/>
                <w:sz w:val="21"/>
              </w:rPr>
              <w:t>Ⅳ. 선택 기준</w:t>
            </w:r>
          </w:p>
        </w:tc>
        <w:tc>
          <w:tcPr>
            <w:tcW w:type="dxa" w:w="850"/>
            <w:tcMar>
              <w:top w:w="80" w:type="dxa"/>
              <w:start w:w="90" w:type="dxa"/>
              <w:bottom w:w="80" w:type="dxa"/>
              <w:end w:w="90" w:type="dxa"/>
            </w:tcMar>
            <w:vAlign w:val="center"/>
          </w:tcPr>
          <w:p>
            <w:pPr>
              <w:spacing w:after="0"/>
              <w:ind w:firstLine="0"/>
              <w:jc w:val="center"/>
            </w:pPr>
            <w:r>
              <w:rPr>
                <w:rFonts w:ascii="Noto Sans CJK KR" w:hAnsi="Noto Sans CJK KR" w:eastAsia="Noto Sans CJK KR"/>
                <w:b w:val="0"/>
                <w:color w:val="000000"/>
                <w:sz w:val="21"/>
              </w:rPr>
              <w:t>4</w:t>
            </w:r>
          </w:p>
        </w:tc>
      </w:tr>
      <w:tr>
        <w:tc>
          <w:tcPr>
            <w:tcW w:type="dxa" w:w="7087"/>
            <w:tcMar>
              <w:top w:w="80" w:type="dxa"/>
              <w:start w:w="90" w:type="dxa"/>
              <w:bottom w:w="80" w:type="dxa"/>
              <w:end w:w="90" w:type="dxa"/>
            </w:tcMar>
            <w:vAlign w:val="center"/>
            <w:shd w:fill="EEF3F6"/>
          </w:tcPr>
          <w:p>
            <w:pPr>
              <w:spacing w:after="0"/>
              <w:ind w:firstLine="0"/>
              <w:jc w:val="left"/>
            </w:pPr>
            <w:r>
              <w:rPr>
                <w:rFonts w:ascii="Noto Sans CJK KR" w:hAnsi="Noto Sans CJK KR" w:eastAsia="Noto Sans CJK KR"/>
                <w:b w:val="0"/>
                <w:color w:val="000000"/>
                <w:sz w:val="21"/>
              </w:rPr>
              <w:t>Ⅴ. 삼성전자의 혼합형 인력 유동 시스템</w:t>
            </w:r>
          </w:p>
        </w:tc>
        <w:tc>
          <w:tcPr>
            <w:tcW w:type="dxa" w:w="850"/>
            <w:tcMar>
              <w:top w:w="80" w:type="dxa"/>
              <w:start w:w="90" w:type="dxa"/>
              <w:bottom w:w="80" w:type="dxa"/>
              <w:end w:w="90" w:type="dxa"/>
            </w:tcMar>
            <w:vAlign w:val="center"/>
            <w:shd w:fill="EEF3F6"/>
          </w:tcPr>
          <w:p>
            <w:pPr>
              <w:spacing w:after="0"/>
              <w:ind w:firstLine="0"/>
              <w:jc w:val="center"/>
            </w:pPr>
            <w:r>
              <w:rPr>
                <w:rFonts w:ascii="Noto Sans CJK KR" w:hAnsi="Noto Sans CJK KR" w:eastAsia="Noto Sans CJK KR"/>
                <w:b w:val="0"/>
                <w:color w:val="000000"/>
                <w:sz w:val="21"/>
              </w:rPr>
              <w:t>5</w:t>
            </w:r>
          </w:p>
        </w:tc>
      </w:tr>
      <w:tr>
        <w:tc>
          <w:tcPr>
            <w:tcW w:type="dxa" w:w="7087"/>
            <w:tcMar>
              <w:top w:w="80" w:type="dxa"/>
              <w:start w:w="90" w:type="dxa"/>
              <w:bottom w:w="80" w:type="dxa"/>
              <w:end w:w="90" w:type="dxa"/>
            </w:tcMar>
            <w:vAlign w:val="center"/>
          </w:tcPr>
          <w:p>
            <w:pPr>
              <w:spacing w:after="0"/>
              <w:ind w:firstLine="0"/>
              <w:jc w:val="left"/>
            </w:pPr>
            <w:r>
              <w:rPr>
                <w:rFonts w:ascii="Noto Sans CJK KR" w:hAnsi="Noto Sans CJK KR" w:eastAsia="Noto Sans CJK KR"/>
                <w:b w:val="0"/>
                <w:color w:val="000000"/>
                <w:sz w:val="21"/>
              </w:rPr>
              <w:t>Ⅵ. 기대효과와 유의점</w:t>
            </w:r>
          </w:p>
        </w:tc>
        <w:tc>
          <w:tcPr>
            <w:tcW w:type="dxa" w:w="850"/>
            <w:tcMar>
              <w:top w:w="80" w:type="dxa"/>
              <w:start w:w="90" w:type="dxa"/>
              <w:bottom w:w="80" w:type="dxa"/>
              <w:end w:w="90" w:type="dxa"/>
            </w:tcMar>
            <w:vAlign w:val="center"/>
          </w:tcPr>
          <w:p>
            <w:pPr>
              <w:spacing w:after="0"/>
              <w:ind w:firstLine="0"/>
              <w:jc w:val="center"/>
            </w:pPr>
            <w:r>
              <w:rPr>
                <w:rFonts w:ascii="Noto Sans CJK KR" w:hAnsi="Noto Sans CJK KR" w:eastAsia="Noto Sans CJK KR"/>
                <w:b w:val="0"/>
                <w:color w:val="000000"/>
                <w:sz w:val="21"/>
              </w:rPr>
              <w:t>7</w:t>
            </w:r>
          </w:p>
        </w:tc>
      </w:tr>
      <w:tr>
        <w:tc>
          <w:tcPr>
            <w:tcW w:type="dxa" w:w="7087"/>
            <w:tcMar>
              <w:top w:w="80" w:type="dxa"/>
              <w:start w:w="90" w:type="dxa"/>
              <w:bottom w:w="80" w:type="dxa"/>
              <w:end w:w="90" w:type="dxa"/>
            </w:tcMar>
            <w:vAlign w:val="center"/>
            <w:shd w:fill="EEF3F6"/>
          </w:tcPr>
          <w:p>
            <w:pPr>
              <w:spacing w:after="0"/>
              <w:ind w:firstLine="0"/>
              <w:jc w:val="left"/>
            </w:pPr>
            <w:r>
              <w:rPr>
                <w:rFonts w:ascii="Noto Sans CJK KR" w:hAnsi="Noto Sans CJK KR" w:eastAsia="Noto Sans CJK KR"/>
                <w:b/>
                <w:color w:val="203748"/>
                <w:sz w:val="21"/>
              </w:rPr>
              <w:t>Ⅶ. 결론</w:t>
            </w:r>
          </w:p>
        </w:tc>
        <w:tc>
          <w:tcPr>
            <w:tcW w:type="dxa" w:w="850"/>
            <w:tcMar>
              <w:top w:w="80" w:type="dxa"/>
              <w:start w:w="90" w:type="dxa"/>
              <w:bottom w:w="80" w:type="dxa"/>
              <w:end w:w="90" w:type="dxa"/>
            </w:tcMar>
            <w:vAlign w:val="center"/>
            <w:shd w:fill="EEF3F6"/>
          </w:tcPr>
          <w:p>
            <w:pPr>
              <w:spacing w:after="0"/>
              <w:ind w:firstLine="0"/>
              <w:jc w:val="center"/>
            </w:pPr>
            <w:r>
              <w:rPr>
                <w:rFonts w:ascii="Noto Sans CJK KR" w:hAnsi="Noto Sans CJK KR" w:eastAsia="Noto Sans CJK KR"/>
                <w:b/>
                <w:color w:val="203748"/>
                <w:sz w:val="21"/>
              </w:rPr>
              <w:t>8</w:t>
            </w:r>
          </w:p>
        </w:tc>
      </w:tr>
      <w:tr>
        <w:tc>
          <w:tcPr>
            <w:tcW w:type="dxa" w:w="7087"/>
            <w:tcMar>
              <w:top w:w="80" w:type="dxa"/>
              <w:start w:w="90" w:type="dxa"/>
              <w:bottom w:w="80" w:type="dxa"/>
              <w:end w:w="90" w:type="dxa"/>
            </w:tcMar>
            <w:vAlign w:val="center"/>
          </w:tcPr>
          <w:p>
            <w:pPr>
              <w:spacing w:after="0"/>
              <w:ind w:firstLine="0"/>
              <w:jc w:val="left"/>
            </w:pPr>
            <w:r>
              <w:rPr>
                <w:rFonts w:ascii="Noto Sans CJK KR" w:hAnsi="Noto Sans CJK KR" w:eastAsia="Noto Sans CJK KR"/>
                <w:b w:val="0"/>
                <w:color w:val="000000"/>
                <w:sz w:val="21"/>
              </w:rPr>
              <w:t>참고문헌</w:t>
            </w:r>
          </w:p>
        </w:tc>
        <w:tc>
          <w:tcPr>
            <w:tcW w:type="dxa" w:w="850"/>
            <w:tcMar>
              <w:top w:w="80" w:type="dxa"/>
              <w:start w:w="90" w:type="dxa"/>
              <w:bottom w:w="80" w:type="dxa"/>
              <w:end w:w="90" w:type="dxa"/>
            </w:tcMar>
            <w:vAlign w:val="center"/>
          </w:tcPr>
          <w:p>
            <w:pPr>
              <w:spacing w:after="0"/>
              <w:ind w:firstLine="0"/>
              <w:jc w:val="center"/>
            </w:pPr>
            <w:r>
              <w:rPr>
                <w:rFonts w:ascii="Noto Sans CJK KR" w:hAnsi="Noto Sans CJK KR" w:eastAsia="Noto Sans CJK KR"/>
                <w:b w:val="0"/>
                <w:color w:val="000000"/>
                <w:sz w:val="21"/>
              </w:rPr>
              <w:t>9</w:t>
            </w:r>
          </w:p>
        </w:tc>
      </w:tr>
    </w:tbl>
    <w:p>
      <w:r>
        <w:br w:type="page"/>
      </w:r>
    </w:p>
    <w:p>
      <w:pPr>
        <w:pStyle w:val="Heading1"/>
      </w:pPr>
      <w:r>
        <w:t>Ⅰ. 서론</w:t>
      </w:r>
    </w:p>
    <w:p>
      <w:pPr>
        <w:widowControl/>
      </w:pPr>
      <w:r>
        <w:t>기업이 필요한 인력을 확보하는 방식은 크게 외부 노동시장에서 새로운 인재를 영입하는 방법과 조직 내부의 구성원을 교육·개발하여 상위 또는 새로운 직무로 이동시키는 방법으로 나눌 수 있다. 외부 영입은 조직에 없는 역량과 관점을 빠르게 도입할 수 있는 반면, 내부 육성은 조직 특유의 지식과 문화를 축적하고 구성원의 장기적 몰입을 높일 수 있다. 어느 한 방식이 항상 우월한 것은 아니며 기업의 전략, 기술 변화의 속도, 노동시장의 인재 공급, 직무의 특수성에 따라 적절한 조합이 달라진다.</w:t>
      </w:r>
    </w:p>
    <w:p>
      <w:pPr>
        <w:widowControl/>
      </w:pPr>
      <w:r>
        <w:t>본 보고서는 외부 영입과 내부 육성의 개념 및 장단점을 비교하고, 두 방식의 선택에 영향을 미치는 조건을 살펴본다. 이어서 삼성전자를 사례기업으로 지정하여 반도체·모바일·인공지능 등 기술집약적 산업의 특성과 글로벌 사업구조를 고려한 인력 유동 시스템을 제안하고자 한다. 여기서 인력 유동 시스템은 채용만을 의미하지 않으며, 외부 유입, 내부 이동, 승계, 재교육, 핵심인재 유지와 불가피한 이탈 관리가 연결된 통합적 체계를 의미한다.</w:t>
      </w:r>
    </w:p>
    <w:p>
      <w:pPr>
        <w:pStyle w:val="Heading1"/>
      </w:pPr>
      <w:r>
        <w:t>Ⅱ. 외부 영입의 의미와 장단점</w:t>
      </w:r>
    </w:p>
    <w:p>
      <w:pPr>
        <w:widowControl/>
      </w:pPr>
      <w:r>
        <w:t>외부 영입은 공개채용, 경력채용, 헤드헌팅, 산학협력, 인수합병 후 인재흡수 등을 통해 조직 밖의 인력을 확보하는 방식이다. 가장 큰 장점은 필요한 전문성을 단기간에 확보할 수 있다는 점이다. 인공지능, 차량용 반도체, 클라우드 보안처럼 기술 변화가 빠르고 내부 경험이 부족한 분야에서는 필요한 역량을 처음부터 육성하기보다 이미 경험을 보유한 인재를 영입하는 것이 시장 진입 시간을 줄인다. 경쟁기업이나 다른 산업 출신 인재는 새로운 문제해결 방식과 고객 관점을 제공하여 조직의 동질성을 완화하고 혁신을 촉진할 수도 있다.</w:t>
      </w:r>
    </w:p>
    <w:p>
      <w:pPr>
        <w:widowControl/>
      </w:pPr>
      <w:r>
        <w:t>또한 외부 채용은 조직 규모의 급격한 확대나 신규 지역 진출에 유리하다. 내부 인력만으로 충원하면 기존 부서에 연쇄적인 공석이 발생하지만 외부 영입은 순증 인력을 확보할 수 있다. 여성, 외국인, 이종산업 전문가 등 다양한 인재를 채용하면 인력구성의 다양성도 높아진다. 조직 내부에 적절한 후보가 없을 때 공개 경쟁을 통해 더 넓은 인재풀을 검토할 수 있다는 점 역시 장점이다.</w:t>
      </w:r>
    </w:p>
    <w:p>
      <w:pPr>
        <w:widowControl/>
      </w:pPr>
      <w:r>
        <w:t>반면 외부 영입에는 탐색·선발·온보딩 비용이 발생하고, 지원자의 실제 역량과 조직 적합성을 완전히 파악하기 어렵다는 정보 비대칭 문제가 있다. 높은 보상을 제시해 영입한 경력자가 조직의 의사결정 방식과 협업관계에 적응하지 못하면 조기 이탈하거나 기대성과를 내지 못할 수 있다. 외부 인재에게 핵심 직책을 반복적으로 부여하면 내부 구성원은 승진 가능성이 낮다고 인식하여 동기와 조직몰입이 약화될 수 있다. 기존 구성원과 신규 영입자 사이의 보상 차이와 문화적 갈등도 관리해야 한다.</w:t>
      </w:r>
    </w:p>
    <w:p>
      <w:pPr>
        <w:pStyle w:val="Heading1"/>
      </w:pPr>
      <w:r>
        <w:t>Ⅲ. 내부 육성의 의미와 장단점</w:t>
      </w:r>
    </w:p>
    <w:p>
      <w:pPr>
        <w:widowControl/>
      </w:pPr>
      <w:r>
        <w:t>내부 육성은 교육훈련, 직무순환, 멘토링, 액션러닝, 프로젝트 배치, 승진과 승계계획 등을 통해 기존 구성원의 역량을 높이고 필요한 직무로 이동시키는 방식이다. 내부 인력은 기업의 제품, 공정, 고객, 조직문화와 비공식적 협업망을 이해하고 있으므로 새로운 역할에 비교적 빠르게 적응할 수 있다. 특히 장기간의 시행착오를 통해 축적되는 암묵지가 중요한 연구개발과 제조 직무에서는 내부 육성의 가치가 크다.</w:t>
      </w:r>
    </w:p>
    <w:p>
      <w:pPr>
        <w:widowControl/>
      </w:pPr>
      <w:r>
        <w:t>내부 승진과 이동의 기회는 구성원에게 노력과 성장의 보상이 존재한다는 신호를 제공한다. 경력경로가 명확하면 학습동기와 장기근속 의지가 높아지고, 기업은 채용 실패 위험과 초기 적응비용을 줄일 수 있다. 성과기록과 역량평가가 이미 축적되어 후보자의 강점과 한계를 비교적 정확하게 판단할 수 있다는 점도 장점이다. 핵심직책의 후계자를 미리 발굴하고 여러 직무 경험을 제공하면 리더십 공백 위험을 낮출 수 있다.</w:t>
      </w:r>
    </w:p>
    <w:p>
      <w:pPr>
        <w:widowControl/>
      </w:pPr>
      <w:r>
        <w:t>그러나 내부 육성은 필요한 역량을 확보하기까지 시간이 오래 걸리고 교육투자의 성과가 불확실하다. 기술 패러다임이 급격히 바뀌었는데 기존 방식에 익숙한 인력만 순환시키면 새로운 관점이 부족해지고 집단사고가 강화될 수 있다. 내부 후보자 간 경쟁이 정치화되거나 승진에서 탈락한 구성원이 불만을 가질 수도 있다. 조직에 존재하지 않는 첨단 전문성을 내부 교육만으로 만들기 어렵고, 육성된 인재가 경쟁사로 이직하면 투자회수가 이루어지지 않는다는 위험도 존재한다.</w:t>
      </w:r>
    </w:p>
    <w:p>
      <w:pPr>
        <w:pStyle w:val="Heading1"/>
      </w:pPr>
      <w:r>
        <w:t>Ⅳ. 외부 영입과 내부 육성의 선택 기준</w:t>
      </w:r>
    </w:p>
    <w:p>
      <w:pPr>
        <w:widowControl/>
      </w:pPr>
      <w:r>
        <w:t>기업은 직무의 전략적 중요성과 역량의 희소성을 기준으로 인력 확보 방식을 차별화할 필요가 있다. 기업 특유의 공정지식과 장기적인 관계가 경쟁우위의 원천인 직무는 내부 육성과 유지가 적합하다. 반대로 내부에 존재하지 않는 신기술, 해외시장 전문성, 단기간의 사업전환에 필요한 역량은 외부 영입의 필요성이 크다. 표준화가 가능하고 시장에서 공급이 충분한 직무는 외부 노동시장을 유연하게 활용할 수 있지만, 핵심기술 유출 위험이 큰 직무는 장기적 내부 경력체계를 강화해야 한다.</w:t>
      </w:r>
    </w:p>
    <w:p>
      <w:pPr>
        <w:widowControl/>
      </w:pPr>
      <w:r>
        <w:t>시간과 비용도 고려해야 한다. 사업기회가 짧고 즉시 투입이 필요한 경우에는 높은 채용비용을 감수하더라도 외부 전문가가 유리할 수 있다. 반면 반복적으로 필요한 역량이라면 사내대학, 직무아카데미, 멘토링과 같은 육성 인프라를 구축하는 것이 장기적으로 경제적이다. 중요한 것은 외부 영입과 내부 육성을 서로 대체하는 선택으로만 보지 않는 것이다. 외부 전문가가 새로운 지식을 들여오고 내부 인력이 이를 흡수하도록 팀과 교육을 설계하면 두 방식은 상호보완적으로 작동한다.</w:t>
      </w:r>
    </w:p>
    <w:p>
      <w:pPr>
        <w:pStyle w:val="Heading1"/>
      </w:pPr>
      <w:r>
        <w:t>Ⅴ. 삼성전자에 적합한 혼합형 인력 유동 시스템</w:t>
      </w:r>
    </w:p>
    <w:p>
      <w:pPr>
        <w:widowControl/>
      </w:pPr>
      <w:r>
        <w:t>삼성전자는 반도체, 모바일, 가전, 네트워크 등 다양한 사업을 운영하며 대규모 제조역량과 첨단 연구개발 역량을 동시에 필요로 한다. 반도체 공정과 품질관리에는 장기간 축적된 현장지식이 중요하지만, 생성형 인공지능, 소프트웨어 플랫폼, 로봇, 자동차 전장 등에서는 외부 생태계의 전문성과 속도가 중요하다. 또한 글로벌 사업은 지역별 시장 이해와 다양한 문화적 배경을 가진 리더를 요구한다. 따라서 모든 직무에 동일한 채용 원칙을 적용하기보다 직무군별로 차별화된 혼합형 시스템을 운영하는 것이 적합하다.</w:t>
      </w:r>
    </w:p>
    <w:p>
      <w:pPr>
        <w:widowControl/>
      </w:pPr>
      <w:r>
        <w:t>첫째, 핵심 제조·공정·품질 직무는 내부 육성을 중심으로 운영해야 한다. 입사 초기부터 공정별 기초교육과 현장 멘토링을 제공하고, 설계·공정·품질·고객기술 부문 간 직무순환을 통해 전체 가치사슬을 이해하도록 한다. 숙련기술자의 지식을 표준작업, 사례 데이터베이스, 사내강의로 전환하여 세대 간 전수를 촉진하고, 핵심 기술직에는 관리직과 별도의 전문가 경력경로를 제공해야 한다. 이는 우수 엔지니어가 승진을 위해 반드시 관리자가 되어야 하는 문제를 줄이고 전문성을 장기적으로 보존한다.</w:t>
      </w:r>
    </w:p>
    <w:p>
      <w:pPr>
        <w:widowControl/>
      </w:pPr>
      <w:r>
        <w:t>둘째, 인공지능·소프트웨어·차량용 시스템과 같은 성장 분야는 전략적 외부 영입을 확대해야 한다. 단순히 유명 기업 출신이라는 이유가 아니라 확보하려는 기술과 역할을 구체적으로 정의하고, 포트폴리오·기술면접·실제 문제과제를 통해 직무역량을 검증해야 한다. 해외 연구소와 대학, 스타트업 생태계를 활용해 글로벌 인재풀을 구축하고, 필요할 경우 인수합병이나 전략적 제휴를 통해 팀 단위의 역량을 확보할 수 있다. 동시에 외부 영입자가 조직의 하드웨어·제조 강점을 이해하도록 90일 온보딩과 내부 기술멘토를 배정해야 한다.</w:t>
      </w:r>
    </w:p>
    <w:p>
      <w:pPr>
        <w:widowControl/>
      </w:pPr>
      <w:r>
        <w:t>셋째, 사내 인재시장(internal talent marketplace)을 구축하여 구성원이 공개된 프로젝트와 직무에 지원할 수 있도록 해야 한다. 인사부서나 상사의 지명만으로 이동이 결정되면 우수 인력이 특정 조직에 고착되고 개인의 경력 선택권이 제한된다. 구성원의 역량 프로필, 교육 이수, 프로젝트 성과와 희망경력을 바탕으로 단기 프로젝트·겸직·정규 이동 기회를 추천하면 사업부 간 지식이동이 활발해진다. 다만 알고리즘 추천에만 의존하지 않고, 이동을 막는 관리자의 이해상충을 조정하는 전사 규칙과 경력상담을 병행해야 한다.</w:t>
      </w:r>
    </w:p>
    <w:p>
      <w:pPr>
        <w:widowControl/>
      </w:pPr>
      <w:r>
        <w:t>넷째, 외부 영입과 내부 육성을 연결하는 지식이전 장치를 마련해야 한다. 외부 전문가에게 개인 성과만 요구하면 지식이 해당 인재에게 머물고 이탈 시 사라질 수 있다. 신규 기술리더의 목표에 내부 후계자 육성, 기술세미나, 공동 특허와 표준문서 작성 등을 포함하고, 내부 구성원은 외부 인재와 혼합된 프로젝트팀에서 실제 문제를 해결하도록 해야 한다. 외부 영입자는 새로운 지식을 제공하고 내부 인력은 삼성전자의 제조·시장 역량과 결합함으로써 조직 고유의 역량을 형성할 수 있다.</w:t>
      </w:r>
    </w:p>
    <w:p>
      <w:pPr>
        <w:widowControl/>
      </w:pPr>
      <w:r>
        <w:t>다섯째, 데이터 기반 인력 포트폴리오를 운영해야 한다. 각 전략사업의 향후 3~5년 필요 직무와 역량을 전망하고, 현재 인력의 공급과 격차를 정기적으로 분석해야 한다. 격차가 크면서 확보 시급성이 높은 역량은 외부 영입, 시간적 여유가 있고 기업특수성이 높은 역량은 내부 육성, 일시적 수요는 프로젝트 계약이나 파트너십으로 대응할 수 있다. 외부 채용 비율 자체를 목표로 삼기보다 충원기간, 입사 후 성과, 내부 이동률, 핵심인재 유지율, 육성 후 직무전환율, 다양성 등 결과지표를 함께 관리해야 한다.</w:t>
      </w:r>
    </w:p>
    <w:p>
      <w:pPr>
        <w:widowControl/>
      </w:pPr>
      <w:r>
        <w:t>여섯째, 공정성과 유지관리를 강화해야 한다. 경력입사자의 시장가치를 반영하되 동일 역할을 수행하는 내부 인력과의 과도한 보상 격차를 점검하고, 역할·역량·성과에 기반한 보상 원칙을 투명하게 설명해야 한다. 내부 공모와 승계 후보 선정의 기준도 공개하여 기회 공정성을 높여야 한다. 핵심인재의 이탈 원인을 보상만으로 보지 않고 성장기회, 리더십, 업무자율성, 기술적 도전 수준까지 파악하여 유지전략을 차별화하는 것이 필요하다.</w:t>
      </w:r>
    </w:p>
    <w:p>
      <w:pPr>
        <w:pStyle w:val="Heading2"/>
      </w:pPr>
      <w:r>
        <w:t>Ⅵ. 기대효과와 유의점</w:t>
      </w:r>
    </w:p>
    <w:p>
      <w:pPr>
        <w:widowControl/>
      </w:pPr>
      <w:r>
        <w:t>제안한 혼합형 시스템은 필요한 신기술을 신속하게 확보하면서도 삼성전자의 제조 암묵지와 조직특유 역량을 보존하는 효과가 있다. 사내 인재시장은 사업부 간 인력의 재배치를 촉진하여 구조조정의 충격을 줄이고, 구성원에게 다양한 경력기회를 제공한다. 외부 전문가와 내부 인력의 공동 프로젝트는 지식의 결합을 통해 모방하기 어려운 경쟁우위를 형성할 수 있다. 데이터 기반 계획은 단기 채용수요와 장기 육성투자의 균형을 높인다.</w:t>
      </w:r>
    </w:p>
    <w:p>
      <w:pPr>
        <w:widowControl/>
      </w:pPr>
      <w:r>
        <w:t>다만 인력 데이터 활용 과정에서는 개인정보 보호와 알고리즘 편향을 관리해야 하며, 외부 인재에게만 혁신을 맡기는 이분법도 피해야 한다. 내부 인재에게 실질적인 도전기회와 재교육 시간을 제공하지 않으면 사내 이동 플랫폼은 형식화될 수 있다. 외부 영입자의 적응 실패와 내부 구성원의 상대적 박탈감을 줄이기 위해 역할 기대, 보상원칙, 의사결정 권한을 명확히 하고 팀 수준의 통합관리를 수행해야 한다.</w:t>
      </w:r>
    </w:p>
    <w:p>
      <w:pPr>
        <w:pStyle w:val="Heading2"/>
      </w:pPr>
      <w:r>
        <w:t>Ⅶ. 결론</w:t>
      </w:r>
    </w:p>
    <w:p>
      <w:pPr>
        <w:widowControl/>
      </w:pPr>
      <w:r>
        <w:t>외부 영입은 속도, 새로운 전문성, 다양성 측면에서 강점이 있으나 비용, 적응 실패, 내부 동기 저하의 위험이 있다. 내부 육성은 조직특유 지식, 몰입, 승계 안정성을 높이지만 시간이 필요하고 기존 관점이 고착될 수 있다. 따라서 기업은 직무의 전략적 중요성, 역량 희소성, 확보 시급성, 기업특수성을 기준으로 두 방식을 결합해야 한다.</w:t>
      </w:r>
    </w:p>
    <w:p>
      <w:pPr>
        <w:widowControl/>
      </w:pPr>
      <w:r>
        <w:t>삼성전자에는 핵심 제조·공정 직무의 내부 육성, 신성장 기술의 전략적 외부 영입, 사내 인재시장을 통한 유연한 이동, 혼합 프로젝트를 통한 지식이전, 데이터 기반 인력 포트폴리오를 연계한 시스템이 적합하다. 이러한 체계는 사람을 단순히 외부에서 사 오거나 내부에 머물게 하는 관리가 아니라, 필요한 역량이 조직 안팎을 순환하며 지속적으로 축적되도록 하는 전략적 인력 유동 시스템이라고 평가할 수 있다.</w:t>
      </w:r>
    </w:p>
    <w:p>
      <w:r>
        <w:br w:type="page"/>
      </w:r>
    </w:p>
    <w:p>
      <w:pPr>
        <w:pStyle w:val="Heading1"/>
      </w:pPr>
      <w:r>
        <w:t>참고문헌</w:t>
      </w:r>
    </w:p>
    <w:p>
      <w:pPr>
        <w:spacing w:after="100" w:line="312" w:lineRule="auto"/>
        <w:ind w:hanging="340" w:left="340"/>
      </w:pPr>
      <w:r>
        <w:t>김성국·김민수. (2021). 『인적자원관리』. 탑북스.</w:t>
      </w:r>
    </w:p>
    <w:p>
      <w:pPr>
        <w:spacing w:after="100" w:line="312" w:lineRule="auto"/>
        <w:ind w:hanging="340" w:left="340"/>
      </w:pPr>
      <w:r>
        <w:t>백삼균. (2020). 『인적자원개발론』. 한국방송통신대학교출판문화원.</w:t>
      </w:r>
    </w:p>
    <w:p>
      <w:pPr>
        <w:spacing w:after="100" w:line="312" w:lineRule="auto"/>
        <w:ind w:hanging="340" w:left="340"/>
      </w:pPr>
      <w:r>
        <w:t>삼성전자. (2024). 『지속가능경영보고서 2024』. 삼성전자.</w:t>
      </w:r>
    </w:p>
    <w:p>
      <w:pPr>
        <w:spacing w:after="100" w:line="312" w:lineRule="auto"/>
        <w:ind w:hanging="340" w:left="340"/>
      </w:pPr>
      <w:r>
        <w:t>Cappelli, P. (2008). Talent on demand: Managing talent in an age of uncertainty. Harvard Business Press.</w:t>
      </w:r>
    </w:p>
    <w:p>
      <w:pPr>
        <w:spacing w:after="100" w:line="312" w:lineRule="auto"/>
        <w:ind w:hanging="340" w:left="340"/>
      </w:pPr>
      <w:r>
        <w:t>Lepak, D. P., &amp; Snell, S. A. (1999). The human resource architecture: Toward a theory of human capital allocation and development. Academy of Management Review, 24(1), 31–48.</w:t>
      </w:r>
    </w:p>
    <w:p>
      <w:pPr>
        <w:spacing w:after="100" w:line="312" w:lineRule="auto"/>
        <w:ind w:hanging="340" w:left="340"/>
      </w:pPr>
      <w:r>
        <w:t>Noe, R. A. (2020). Employee training and development (8th ed.). McGraw-Hill Education.</w:t>
      </w:r>
    </w:p>
    <w:p>
      <w:r>
        <w:br w:type="page"/>
      </w:r>
    </w:p>
    <w:p>
      <w:pPr>
        <w:spacing w:before="700"/>
        <w:jc w:val="center"/>
      </w:pPr>
      <w:r>
        <w:rPr>
          <w:rFonts w:ascii="Noto Sans CJK KR" w:hAnsi="Noto Sans CJK KR" w:eastAsia="Noto Sans CJK KR"/>
          <w:b/>
          <w:color w:val="203748"/>
          <w:sz w:val="36"/>
        </w:rPr>
        <w:t>⚠️ 주의사항</w:t>
      </w:r>
    </w:p>
    <w:tbl>
      <w:tblPr>
        <w:tblW w:type="auto" w:w="0"/>
        <w:jc w:val="center"/>
        <w:tblLayout w:type="fixed"/>
        <w:tblLook w:firstColumn="1" w:firstRow="1" w:lastColumn="0" w:lastRow="0" w:noHBand="0" w:noVBand="1" w:val="04A0"/>
      </w:tblPr>
      <w:tblGrid>
        <w:gridCol w:w="8220"/>
      </w:tblGrid>
      <w:tr>
        <w:tc>
          <w:tcPr>
            <w:tcW w:type="dxa" w:w="9072"/>
            <w:shd w:fill="F4F6F7"/>
            <w:tcMar>
              <w:top w:w="280" w:type="dxa"/>
              <w:start w:w="300" w:type="dxa"/>
              <w:bottom w:w="280" w:type="dxa"/>
              <w:end w:w="300" w:type="dxa"/>
            </w:tcMar>
          </w:tcPr>
          <w:p>
            <w:pPr>
              <w:spacing w:line="384" w:lineRule="auto"/>
              <w:ind w:firstLine="0"/>
              <w:jc w:val="center"/>
            </w:pPr>
            <w:r>
              <w:rPr>
                <w:rFonts w:ascii="Noto Sans CJK KR" w:hAnsi="Noto Sans CJK KR" w:eastAsia="Noto Sans CJK KR"/>
                <w:b/>
                <w:color w:val="000000"/>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pPr>
        <w:spacing w:before="600"/>
        <w:jc w:val="center"/>
      </w:pPr>
      <w:r>
        <w:rPr>
          <w:rFonts w:ascii="Noto Sans CJK KR" w:hAnsi="Noto Sans CJK KR" w:eastAsia="Noto Sans CJK KR"/>
          <w:b/>
          <w:color w:val="2B5163"/>
          <w:sz w:val="32"/>
        </w:rPr>
        <w:t>📌 과제 수정이 어려우신가요?</w:t>
      </w:r>
    </w:p>
    <w:p>
      <w:pPr>
        <w:spacing w:line="408" w:lineRule="auto"/>
        <w:ind w:firstLine="0"/>
        <w:jc w:val="center"/>
      </w:pPr>
      <w:r>
        <w:rPr>
          <w:rFonts w:ascii="Noto Sans CJK KR" w:hAnsi="Noto Sans CJK KR" w:eastAsia="Noto Sans CJK KR"/>
          <w:b w:val="0"/>
          <w:color w:val="000000"/>
          <w:sz w:val="22"/>
        </w:rPr>
        <w:t>국민원격교육관리센터에서 1:1 과제 수정 도움을 드립니다.</w:t>
        <w:br/>
        <w:t>아래 연락처로 문의해 주세요.</w:t>
      </w:r>
    </w:p>
    <w:p>
      <w:pPr>
        <w:spacing w:after="80"/>
        <w:ind w:firstLine="0"/>
        <w:jc w:val="center"/>
      </w:pPr>
      <w:r>
        <w:rPr>
          <w:rFonts w:ascii="Noto Sans CJK KR" w:hAnsi="Noto Sans CJK KR" w:eastAsia="Noto Sans CJK KR"/>
          <w:b/>
          <w:color w:val="203748"/>
          <w:sz w:val="22"/>
        </w:rPr>
        <w:t>📞 전화: 050-7878-7044</w:t>
      </w:r>
    </w:p>
    <w:p>
      <w:pPr>
        <w:spacing w:after="80"/>
        <w:ind w:firstLine="0"/>
        <w:jc w:val="center"/>
      </w:pPr>
      <w:r>
        <w:rPr>
          <w:rFonts w:ascii="Noto Sans CJK KR" w:hAnsi="Noto Sans CJK KR" w:eastAsia="Noto Sans CJK KR"/>
          <w:b/>
          <w:color w:val="203748"/>
          <w:sz w:val="22"/>
        </w:rPr>
        <w:t>💬 카카오톡: @국민원격교육관리센터</w:t>
      </w:r>
    </w:p>
    <w:p>
      <w:pPr>
        <w:spacing w:after="80"/>
        <w:ind w:firstLine="0"/>
        <w:jc w:val="center"/>
      </w:pPr>
      <w:r>
        <w:rPr>
          <w:rFonts w:ascii="Noto Sans CJK KR" w:hAnsi="Noto Sans CJK KR" w:eastAsia="Noto Sans CJK KR"/>
          <w:b/>
          <w:color w:val="203748"/>
          <w:sz w:val="22"/>
        </w:rPr>
        <w:t>🕐 운영시간: 평일 10:00–19:00</w:t>
      </w:r>
    </w:p>
    <w:p>
      <w:pPr>
        <w:spacing w:after="80"/>
        <w:ind w:firstLine="0"/>
        <w:jc w:val="center"/>
      </w:pPr>
      <w:r>
        <w:rPr>
          <w:rFonts w:ascii="Noto Sans CJK KR" w:hAnsi="Noto Sans CJK KR" w:eastAsia="Noto Sans CJK KR"/>
          <w:b/>
          <w:color w:val="203748"/>
          <w:sz w:val="22"/>
        </w:rPr>
        <w:t>🌐 웹사이트: korealms.co.kr</w:t>
      </w:r>
    </w:p>
    <w:sectPr w:rsidR="00FC693F" w:rsidRPr="0006063C" w:rsidSect="00034616">
      <w:footerReference w:type="default" r:id="rId9"/>
      <w:pgSz w:w="11906" w:h="16838"/>
      <w:pgMar w:top="1247" w:right="1417" w:bottom="1134" w:left="1417"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
      <w:rPr>
        <w:rFonts w:ascii="Noto Sans CJK KR" w:hAnsi="Noto Sans CJK KR" w:eastAsia="Noto Sans CJK KR"/>
        <w:b w:val="0"/>
        <w:color w:val="5C656C"/>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96" w:lineRule="auto" w:after="140"/>
      <w:ind w:firstLine="397"/>
      <w:jc w:val="both"/>
    </w:pPr>
    <w:rPr>
      <w:rFonts w:ascii="Noto Sans CJK KR" w:hAnsi="Noto Sans CJK KR" w:eastAsia="Noto Sans CJK KR"/>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60"/>
      <w:outlineLvl w:val="0"/>
    </w:pPr>
    <w:rPr>
      <w:rFonts w:asciiTheme="majorHAnsi" w:eastAsiaTheme="majorEastAsia" w:hAnsiTheme="majorHAnsi" w:cstheme="majorBidi" w:ascii="Noto Sans CJK KR" w:hAnsi="Noto Sans CJK KR" w:eastAsia="Noto Sans CJK KR"/>
      <w:b/>
      <w:bCs/>
      <w:color w:val="203748"/>
      <w:sz w:val="34"/>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Noto Sans CJK KR" w:hAnsi="Noto Sans CJK KR" w:eastAsia="Noto Sans CJK KR"/>
      <w:b/>
      <w:bCs/>
      <w:color w:val="2B5163"/>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Noto Sans CJK KR" w:hAnsi="Noto Sans CJK KR" w:eastAsia="Noto Sans CJK KR"/>
      <w:b/>
      <w:bCs/>
      <w:color w:val="AD822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인력의 외부 영입과 내부 육성의 장단점 및 삼성전자의 인력 유동 시스템</dc:title>
  <dc:subject>인력개발과활용</dc:subject>
  <dc:creator>국민원격교육관리센터</dc:creator>
  <cp:keywords/>
  <dc:description>학점은행제 과제 참고용 샘플</dc:description>
  <cp:lastModifiedBy/>
  <cp:revision>1</cp:revision>
  <dcterms:created xsi:type="dcterms:W3CDTF">2013-12-23T23:15:00Z</dcterms:created>
  <dcterms:modified xsi:type="dcterms:W3CDTF">2013-12-23T23:15:00Z</dcterms:modified>
  <cp:category/>
</cp:coreProperties>
</file>