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0"/>
        <w:spacing w:before="300" w:after="0" w:line="240" w:lineRule="auto"/>
        <w:jc w:val="center"/>
      </w:pPr>
      <w:r>
        <w:rPr>
          <w:rFonts w:ascii="Malgun Gothic" w:hAnsi="Malgun Gothic" w:eastAsia="Malgun Gothic"/>
          <w:b/>
          <w:color w:val="1F4E79"/>
          <w:sz w:val="30"/>
        </w:rPr>
        <w:t>인 적 자 원 관 리</w:t>
      </w:r>
    </w:p>
    <w:p>
      <w:pPr>
        <w:keepNext w:val="0"/>
        <w:spacing w:before="900" w:after="300" w:line="288" w:lineRule="auto"/>
        <w:jc w:val="center"/>
      </w:pPr>
      <w:r>
        <w:rPr>
          <w:rFonts w:ascii="Malgun Gothic" w:hAnsi="Malgun Gothic" w:eastAsia="Malgun Gothic"/>
          <w:b/>
          <w:color w:val="191919"/>
          <w:sz w:val="44"/>
        </w:rPr>
        <w:t>인사고과의 타당성과 신뢰성이</w:t>
        <w:br/>
        <w:t>중요한 이유에 대하여 논하시오</w:t>
      </w:r>
    </w:p>
    <w:p>
      <w:pPr>
        <w:keepNext w:val="0"/>
        <w:spacing w:before="0" w:after="500" w:line="240" w:lineRule="auto"/>
        <w:jc w:val="center"/>
      </w:pPr>
      <w:r>
        <w:rPr>
          <w:rFonts w:ascii="Malgun Gothic" w:hAnsi="Malgun Gothic" w:eastAsia="Malgun Gothic"/>
          <w:b/>
          <w:color w:val="595959"/>
          <w:sz w:val="22"/>
        </w:rPr>
        <w:t>과제 참고자료</w:t>
      </w:r>
    </w:p>
    <w:p>
      <w:pPr>
        <w:keepNext w:val="0"/>
        <w:spacing w:before="0" w:after="400" w:line="240" w:lineRule="auto"/>
        <w:jc w:val="center"/>
      </w:pPr>
      <w:r>
        <w:rPr>
          <w:rFonts w:ascii="Malgun Gothic" w:hAnsi="Malgun Gothic" w:eastAsia="Malgun Gothic"/>
          <w:color w:val="5B9BD5"/>
          <w:sz w:val="18"/>
        </w:rPr>
        <w:t>━━━━━━━━━━━━━━━━━━━━━━━━━━━━</w:t>
      </w:r>
    </w:p>
    <w:tbl>
      <w:tblPr>
        <w:tblW w:type="auto" w:w="0"/>
        <w:tblLayout w:type="fixed"/>
        <w:tblLook w:firstColumn="1" w:firstRow="1" w:lastColumn="0" w:lastRow="0" w:noHBand="0" w:noVBand="1" w:val="04A0"/>
      </w:tblPr>
      <w:tblGrid>
        <w:gridCol w:w="7654"/>
      </w:tblGrid>
      <w:tr>
        <w:trPr>
          <w:cantSplit/>
        </w:trPr>
        <w:tc>
          <w:tcPr>
            <w:tcW w:type="dxa" w:w="9518"/>
            <w:vAlign w:val="center"/>
            <w:shd w:fill="F5F8FC"/>
            <w:tcBorders>
              <w:top w:val="single" w:sz="8" w:color="B4C7E7"/>
              <w:left w:val="single" w:sz="8" w:color="B4C7E7"/>
              <w:bottom w:val="single" w:sz="8" w:color="B4C7E7"/>
              <w:right w:val="single" w:sz="8" w:color="B4C7E7"/>
            </w:tcBorders>
          </w:tcPr>
          <w:p>
            <w:pPr>
              <w:keepNext w:val="0"/>
              <w:spacing w:before="60" w:after="60" w:line="360" w:lineRule="auto"/>
              <w:jc w:val="left"/>
            </w:pPr>
            <w:r>
              <w:rPr>
                <w:rFonts w:ascii="Malgun Gothic" w:hAnsi="Malgun Gothic" w:eastAsia="Malgun Gothic"/>
                <w:b/>
                <w:color w:val="1F4E79"/>
                <w:sz w:val="26"/>
              </w:rPr>
              <w:t>목 차</w:t>
            </w:r>
          </w:p>
          <w:p>
            <w:pPr>
              <w:keepNext w:val="0"/>
              <w:spacing w:before="0" w:after="0" w:line="348" w:lineRule="auto"/>
              <w:jc w:val="left"/>
            </w:pPr>
            <w:r>
              <w:rPr>
                <w:rFonts w:ascii="Malgun Gothic" w:hAnsi="Malgun Gothic" w:eastAsia="Malgun Gothic"/>
                <w:sz w:val="21"/>
              </w:rPr>
              <w:t>Ⅰ. 서론</w:t>
            </w:r>
          </w:p>
          <w:p>
            <w:pPr>
              <w:keepNext w:val="0"/>
              <w:spacing w:before="0" w:after="0" w:line="348" w:lineRule="auto"/>
              <w:jc w:val="left"/>
            </w:pPr>
            <w:r>
              <w:rPr>
                <w:rFonts w:ascii="Malgun Gothic" w:hAnsi="Malgun Gothic" w:eastAsia="Malgun Gothic"/>
                <w:sz w:val="21"/>
              </w:rPr>
              <w:t>Ⅱ. 본론</w:t>
            </w:r>
          </w:p>
          <w:p>
            <w:pPr>
              <w:keepNext w:val="0"/>
              <w:spacing w:before="0" w:after="0" w:line="348" w:lineRule="auto"/>
              <w:jc w:val="left"/>
            </w:pPr>
            <w:r>
              <w:rPr>
                <w:rFonts w:ascii="Malgun Gothic" w:hAnsi="Malgun Gothic" w:eastAsia="Malgun Gothic"/>
                <w:sz w:val="21"/>
              </w:rPr>
              <w:t xml:space="preserve">   1. 인사고과의 개념과 목적</w:t>
            </w:r>
          </w:p>
          <w:p>
            <w:pPr>
              <w:keepNext w:val="0"/>
              <w:spacing w:before="0" w:after="0" w:line="348" w:lineRule="auto"/>
              <w:jc w:val="left"/>
            </w:pPr>
            <w:r>
              <w:rPr>
                <w:rFonts w:ascii="Malgun Gothic" w:hAnsi="Malgun Gothic" w:eastAsia="Malgun Gothic"/>
                <w:sz w:val="21"/>
              </w:rPr>
              <w:t xml:space="preserve">   2. 인사고과의 타당성과 그 중요성</w:t>
            </w:r>
          </w:p>
          <w:p>
            <w:pPr>
              <w:keepNext w:val="0"/>
              <w:spacing w:before="0" w:after="0" w:line="348" w:lineRule="auto"/>
              <w:jc w:val="left"/>
            </w:pPr>
            <w:r>
              <w:rPr>
                <w:rFonts w:ascii="Malgun Gothic" w:hAnsi="Malgun Gothic" w:eastAsia="Malgun Gothic"/>
                <w:sz w:val="21"/>
              </w:rPr>
              <w:t xml:space="preserve">   3. 인사고과의 신뢰성과 그 중요성</w:t>
            </w:r>
          </w:p>
          <w:p>
            <w:pPr>
              <w:keepNext w:val="0"/>
              <w:spacing w:before="0" w:after="0" w:line="348" w:lineRule="auto"/>
              <w:jc w:val="left"/>
            </w:pPr>
            <w:r>
              <w:rPr>
                <w:rFonts w:ascii="Malgun Gothic" w:hAnsi="Malgun Gothic" w:eastAsia="Malgun Gothic"/>
                <w:sz w:val="21"/>
              </w:rPr>
              <w:t xml:space="preserve">   4. 타당성과 신뢰성의 관계 및 확보 방안</w:t>
            </w:r>
          </w:p>
          <w:p>
            <w:pPr>
              <w:keepNext w:val="0"/>
              <w:spacing w:before="0" w:after="0" w:line="348" w:lineRule="auto"/>
              <w:jc w:val="left"/>
            </w:pPr>
            <w:r>
              <w:rPr>
                <w:rFonts w:ascii="Malgun Gothic" w:hAnsi="Malgun Gothic" w:eastAsia="Malgun Gothic"/>
                <w:sz w:val="21"/>
              </w:rPr>
              <w:t>Ⅲ. 결론</w:t>
            </w:r>
          </w:p>
          <w:p>
            <w:pPr>
              <w:keepNext w:val="0"/>
              <w:spacing w:before="0" w:after="0" w:line="348" w:lineRule="auto"/>
              <w:jc w:val="left"/>
            </w:pPr>
            <w:r>
              <w:rPr>
                <w:rFonts w:ascii="Malgun Gothic" w:hAnsi="Malgun Gothic" w:eastAsia="Malgun Gothic"/>
                <w:sz w:val="21"/>
              </w:rPr>
              <w:t>Ⅳ. 참고문헌</w:t>
            </w:r>
          </w:p>
        </w:tc>
      </w:tr>
    </w:tbl>
    <w:p>
      <w:r>
        <w:br w:type="page"/>
      </w:r>
    </w:p>
    <w:p>
      <w:pPr>
        <w:keepNext/>
        <w:spacing w:before="40" w:after="100" w:line="288" w:lineRule="auto"/>
        <w:jc w:val="left"/>
      </w:pPr>
      <w:r>
        <w:rPr>
          <w:rFonts w:ascii="Malgun Gothic" w:hAnsi="Malgun Gothic" w:eastAsia="Malgun Gothic"/>
          <w:b/>
          <w:color w:val="1F4E79"/>
          <w:sz w:val="26"/>
        </w:rPr>
        <w:t>Ⅰ. 서론</w:t>
      </w:r>
    </w:p>
    <w:p>
      <w:pPr>
        <w:keepNext w:val="0"/>
        <w:spacing w:before="0" w:after="0" w:line="336" w:lineRule="auto"/>
        <w:ind w:firstLine="397"/>
        <w:jc w:val="both"/>
      </w:pPr>
      <w:r>
        <w:rPr>
          <w:rFonts w:ascii="Malgun Gothic" w:hAnsi="Malgun Gothic" w:eastAsia="Malgun Gothic"/>
          <w:sz w:val="19"/>
        </w:rPr>
        <w:t>인사고과는 조직구성원의 업무수행 결과와 역량, 업무태도 및 성장 가능성을 일정한 기준에 따라 판단하는 인적자원관리 활동이다. 평가 결과는 단순한 서열 결정에 머무르지 않고 승진, 임금, 성과급, 배치, 교육훈련, 경력개발과 같은 중요한 인사 의사결정의 근거가 된다. 따라서 인사고과가 실제 직무성과를 정확하게 반영하지 못하거나 평가 시점과 평가자에 따라 결과가 크게 달라진다면, 그 결과에 기초한 인사제도 전체가 왜곡될 수 있다. 이러한 이유로 인사고과의 품질을 판단할 때에는 평가가 측정하려는 내용을 제대로 측정하는지에 관한 타당성과, 동일한 대상을 반복해서 평가하거나 여러 평가자가 평가할 때 결과가 일관되는지에 관한 신뢰성을 함께 살펴야 한다.</w:t>
      </w:r>
    </w:p>
    <w:p>
      <w:pPr>
        <w:keepNext w:val="0"/>
        <w:spacing w:before="0" w:after="0" w:line="336" w:lineRule="auto"/>
        <w:ind w:firstLine="397"/>
        <w:jc w:val="both"/>
      </w:pPr>
      <w:r>
        <w:rPr>
          <w:rFonts w:ascii="Malgun Gothic" w:hAnsi="Malgun Gothic" w:eastAsia="Malgun Gothic"/>
          <w:sz w:val="19"/>
        </w:rPr>
        <w:t>현대 조직에서는 성과주의 인사관리의 확산으로 평가 결과가 개인의 보상과 경력에 미치는 영향이 커지고 있다. 동시에 지식노동, 협업, 고객관계, 문제해결과 같이 수치로 단순히 환산하기 어려운 업무가 증가하면서 평가의 정확성을 확보하는 일은 더욱 복잡해졌다. 평가제도가 구성원에게 정당한 것으로 받아들여지기 위해서는 평가항목이 직무와 관련되어야 하고, 평가자의 주관적 편견을 줄이며, 동일한 기준을 지속적으로 적용해야 한다. 본 과제에서는 인사고과의 타당성과 신뢰성의 의미를 구분하여 살펴보고, 두 요건이 조직과 구성원에게 중요한 이유 및 이를 높이기 위한 방안을 논하고자 한다.</w:t>
      </w:r>
    </w:p>
    <w:p>
      <w:pPr>
        <w:keepNext/>
        <w:spacing w:before="40" w:after="100" w:line="288" w:lineRule="auto"/>
        <w:jc w:val="left"/>
      </w:pPr>
      <w:r>
        <w:rPr>
          <w:rFonts w:ascii="Malgun Gothic" w:hAnsi="Malgun Gothic" w:eastAsia="Malgun Gothic"/>
          <w:b/>
          <w:color w:val="1F4E79"/>
          <w:sz w:val="26"/>
        </w:rPr>
        <w:t>Ⅱ. 본론</w:t>
      </w:r>
    </w:p>
    <w:p>
      <w:pPr>
        <w:keepNext/>
        <w:spacing w:before="80" w:after="60" w:line="300" w:lineRule="auto"/>
        <w:jc w:val="left"/>
      </w:pPr>
      <w:r>
        <w:rPr>
          <w:rFonts w:ascii="Malgun Gothic" w:hAnsi="Malgun Gothic" w:eastAsia="Malgun Gothic"/>
          <w:b/>
          <w:color w:val="373737"/>
          <w:sz w:val="22"/>
        </w:rPr>
        <w:t>1. 인사고과의 개념과 목적</w:t>
      </w:r>
    </w:p>
    <w:p>
      <w:pPr>
        <w:keepNext w:val="0"/>
        <w:spacing w:before="0" w:after="0" w:line="336" w:lineRule="auto"/>
        <w:ind w:firstLine="397"/>
        <w:jc w:val="both"/>
      </w:pPr>
      <w:r>
        <w:rPr>
          <w:rFonts w:ascii="Malgun Gothic" w:hAnsi="Malgun Gothic" w:eastAsia="Malgun Gothic"/>
          <w:sz w:val="19"/>
        </w:rPr>
        <w:t>인사고과의 직접적인 목적은 일정 기간 동안 구성원이 조직의 목표 달성에 얼마나 기여하였는지를 확인하는 데 있다. 그러나 실제 활용 범위는 이보다 넓다. 첫째, 평가 결과는 성과급과 승진 대상자를 결정하는 관리적 목적에 사용된다. 둘째, 개인별 강점과 보완점을 찾아 교육훈련과 경력개발 계획을 수립하는 개발적 목적을 가진다. 셋째, 조직이 중요하게 여기는 행동과 성과가 무엇인지를 구성원에게 전달하는 전략적 목적도 있다. 예를 들어 고객서비스 조직이 고객만족과 문제해결을 핵심 가치로 설정하였다면 평가항목 역시 단순 처리 건수뿐 아니라 고객응대의 질과 문제해결 행동을 포함해야 한다.</w:t>
      </w:r>
    </w:p>
    <w:p>
      <w:pPr>
        <w:keepNext w:val="0"/>
        <w:spacing w:before="0" w:after="0" w:line="336" w:lineRule="auto"/>
        <w:ind w:firstLine="397"/>
        <w:jc w:val="both"/>
      </w:pPr>
      <w:r>
        <w:rPr>
          <w:rFonts w:ascii="Malgun Gothic" w:hAnsi="Malgun Gothic" w:eastAsia="Malgun Gothic"/>
          <w:sz w:val="19"/>
        </w:rPr>
        <w:t>이처럼 인사고과는 여러 제도를 연결하는 중심 장치이므로 평가의 오류는 한 개인의 점수에만 그치지 않는다. 부정확한 평가에 따라 우수한 구성원이 낮은 보상을 받고, 실제 기여도가 낮은 구성원이 승진한다면 인력배치와 리더 선발이 잘못될 수 있다. 또한 교육이 필요한 사람과 교육내용을 잘못 판단하여 조직의 비용을 낭비할 가능성도 생긴다. 결국 인사고과의 타당성과 신뢰성은 인적자원관리 의사결정의 품질을 좌우하는 기초 조건이라고 할 수 있다.</w:t>
      </w:r>
    </w:p>
    <w:p>
      <w:pPr>
        <w:keepNext/>
        <w:spacing w:before="80" w:after="60" w:line="300" w:lineRule="auto"/>
        <w:jc w:val="left"/>
      </w:pPr>
      <w:r>
        <w:rPr>
          <w:rFonts w:ascii="Malgun Gothic" w:hAnsi="Malgun Gothic" w:eastAsia="Malgun Gothic"/>
          <w:b/>
          <w:color w:val="373737"/>
          <w:sz w:val="22"/>
        </w:rPr>
        <w:t>2. 인사고과의 타당성과 그 중요성</w:t>
      </w:r>
    </w:p>
    <w:p>
      <w:pPr>
        <w:keepNext w:val="0"/>
        <w:spacing w:before="0" w:after="0" w:line="336" w:lineRule="auto"/>
        <w:ind w:firstLine="397"/>
        <w:jc w:val="both"/>
      </w:pPr>
      <w:r>
        <w:rPr>
          <w:rFonts w:ascii="Malgun Gothic" w:hAnsi="Malgun Gothic" w:eastAsia="Malgun Gothic"/>
          <w:sz w:val="19"/>
        </w:rPr>
        <w:t>타당성이란 평가도구가 본래 측정하고자 하는 직무성과나 역량을 실제로 얼마나 정확하게 측정하는가를 의미한다. 인사고과에서 타당성은 평가점수가 단순한 상사의 호감도, 근속연수, 말솜씨 또는 최근에 발생한 특정 사건이 아니라 해당 직무의 핵심성과를 반영하는지를 묻는 개념이다. 타당성은 일반적으로 평가항목이 직무의 중요 요소를 충분히 포함하는 내용타당성, 평가결과가 생산성·매출·고객만족 등 외부 성과기준과 관련되는 기준관련타당성, 그리고 리더십·협업역량·문제해결력과 같은 이론적 개념을 적절하게 측정하는 구성타당성의 관점에서 검토할 수 있다.</w:t>
      </w:r>
    </w:p>
    <w:p>
      <w:pPr>
        <w:keepNext w:val="0"/>
        <w:spacing w:before="0" w:after="0" w:line="336" w:lineRule="auto"/>
        <w:ind w:firstLine="397"/>
        <w:jc w:val="both"/>
      </w:pPr>
      <w:r>
        <w:rPr>
          <w:rFonts w:ascii="Malgun Gothic" w:hAnsi="Malgun Gothic" w:eastAsia="Malgun Gothic"/>
          <w:sz w:val="19"/>
        </w:rPr>
        <w:t>타당성이 중요한 첫 번째 이유는 평가 결과에 기초한 인사 의사결정의 정확성을 높이기 때문이다. 예를 들어 영업사원의 평가에서 개인 매출만을 절대적으로 강조하면 단기적 판매는 높지만 과도한 할인이나 불완전판매로 고객관계를 훼손한 사람까지 우수자로 평가될 수 있다. 반대로 매출, 수익성, 재구매율, 고객불만, 협업기여도를 함께 평가하면 조직이 원하는 지속가능한 성과를 보다 정확하게 측정할 수 있다. 직무와 무관한 요소를 줄이고 핵심성과를 반영하는 평가는 적합한 승진·보상·배치 결정을 가능하게 한다.</w:t>
      </w:r>
    </w:p>
    <w:p>
      <w:pPr>
        <w:keepNext w:val="0"/>
        <w:spacing w:before="0" w:after="0" w:line="336" w:lineRule="auto"/>
        <w:ind w:firstLine="397"/>
        <w:jc w:val="both"/>
      </w:pPr>
      <w:r>
        <w:rPr>
          <w:rFonts w:ascii="Malgun Gothic" w:hAnsi="Malgun Gothic" w:eastAsia="Malgun Gothic"/>
          <w:sz w:val="19"/>
        </w:rPr>
        <w:t>두 번째 이유는 조직의 전략과 구성원의 행동을 일치시키기 위해서이다. 구성원은 평가받는 항목에 관심과 노력을 집중하는 경향이 있다. 따라서 조직이 혁신을 강조하면서도 평가에서는 단기 실적과 오류 없는 업무처리만 중시한다면 구성원은 위험을 감수하는 새로운 시도를 피하게 된다. 평가항목과 조직전략이 연결되어야 평가가 올바른 행동을 유도할 수 있으며, 이것이 전략적 타당성의 핵심이다.</w:t>
      </w:r>
    </w:p>
    <w:p>
      <w:pPr>
        <w:keepNext w:val="0"/>
        <w:spacing w:before="0" w:after="0" w:line="336" w:lineRule="auto"/>
        <w:ind w:firstLine="397"/>
        <w:jc w:val="both"/>
      </w:pPr>
      <w:r>
        <w:rPr>
          <w:rFonts w:ascii="Malgun Gothic" w:hAnsi="Malgun Gothic" w:eastAsia="Malgun Gothic"/>
          <w:sz w:val="19"/>
        </w:rPr>
        <w:t>세 번째 이유는 평가의 공정성과 수용성을 확보하기 위해서이다. 구성원은 자신이 통제할 수 없거나 직무와 관계없는 기준으로 평가받는다고 느끼면 결과를 쉽게 받아들이지 않는다. 이는 평가자에 대한 불신, 이의제기, 조직몰입 저하와 이직 의도로 이어질 수 있다. 반면 직무분석을 통해 도출된 기준과 구체적인 행동사례가 제시되면 평가결과가 기대와 다르더라도 절차의 정당성을 인정할 가능성이 높아진다. 정연앙과 손일상(2006)은 인사평가의 타당성을 평가항목 간 관계와 실제 평가자료를 통해 체계적으로 검토할 필요성을 제시하였으며, 이는 인사평가의 타당성이 단순한 인상이나 제도 설명만으로 확보되는 것이 아님을 보여준다.</w:t>
      </w:r>
    </w:p>
    <w:p>
      <w:pPr>
        <w:keepNext w:val="0"/>
        <w:spacing w:before="0" w:after="0" w:line="336" w:lineRule="auto"/>
        <w:ind w:firstLine="397"/>
        <w:jc w:val="both"/>
      </w:pPr>
      <w:r>
        <w:rPr>
          <w:rFonts w:ascii="Malgun Gothic" w:hAnsi="Malgun Gothic" w:eastAsia="Malgun Gothic"/>
          <w:sz w:val="19"/>
        </w:rPr>
        <w:t>네 번째 이유는 평가 오류로 인한 조직적·법적 위험을 줄이기 위해서이다. 성별, 연령, 학연, 근속연수처럼 직무성과와 직접 관련이 없는 요소가 평가에 영향을 미치면 차별 논란이 발생할 수 있다. 또한 직무에 필요한 행동을 평가하지 않고 모호한 인성이나 충성심만 평가할 경우 결과를 객관적으로 설명하기 어렵다. 타당한 기준과 평가근거를 갖추는 것은 인사조치에 대한 설명책임을 높이고 분쟁 가능성을 줄이는 역할을 한다.</w:t>
      </w:r>
    </w:p>
    <w:p>
      <w:pPr>
        <w:keepNext/>
        <w:spacing w:before="80" w:after="60" w:line="300" w:lineRule="auto"/>
        <w:jc w:val="left"/>
      </w:pPr>
      <w:r>
        <w:rPr>
          <w:rFonts w:ascii="Malgun Gothic" w:hAnsi="Malgun Gothic" w:eastAsia="Malgun Gothic"/>
          <w:b/>
          <w:color w:val="373737"/>
          <w:sz w:val="22"/>
        </w:rPr>
        <w:t>3. 인사고과의 신뢰성과 그 중요성</w:t>
      </w:r>
    </w:p>
    <w:p>
      <w:pPr>
        <w:keepNext w:val="0"/>
        <w:spacing w:before="0" w:after="0" w:line="336" w:lineRule="auto"/>
        <w:ind w:firstLine="397"/>
        <w:jc w:val="both"/>
      </w:pPr>
      <w:r>
        <w:rPr>
          <w:rFonts w:ascii="Malgun Gothic" w:hAnsi="Malgun Gothic" w:eastAsia="Malgun Gothic"/>
          <w:sz w:val="19"/>
        </w:rPr>
        <w:t>신뢰성이란 같은 평가대상을 동일하거나 유사한 조건에서 평가했을 때 결과가 일관되게 나타나는 정도를 의미한다. 인사고과에서는 같은 구성원을 여러 평가자가 평가했을 때 결과가 비슷한지, 일정한 시간이 지난 후 다시 평가해도 큰 차이가 없는지, 하나의 역량을 측정하는 여러 문항이 일관된 방향을 보이는지를 통해 신뢰성을 확인할 수 있다. 즉 신뢰성은 평가점수에 우연한 요인과 평가자의 자의성이 얼마나 적게 개입되었는지를 나타내는 기준이다.</w:t>
      </w:r>
    </w:p>
    <w:p>
      <w:pPr>
        <w:keepNext w:val="0"/>
        <w:spacing w:before="0" w:after="0" w:line="336" w:lineRule="auto"/>
        <w:ind w:firstLine="397"/>
        <w:jc w:val="both"/>
      </w:pPr>
      <w:r>
        <w:rPr>
          <w:rFonts w:ascii="Malgun Gothic" w:hAnsi="Malgun Gothic" w:eastAsia="Malgun Gothic"/>
          <w:sz w:val="19"/>
        </w:rPr>
        <w:t>신뢰성이 중요한 첫 번째 이유는 평가의 예측 가능성과 일관성을 보장하기 때문이다. 동일한 성과를 낸 두 직원이 부서장에 따라 전혀 다른 등급을 받거나, 같은 직원의 평가가 특별한 근거 없이 매년 크게 흔들린다면 구성원은 평가기준을 이해할 수 없다. 이러한 상태에서는 어떤 행동을 개선해야 하는지 알기 어렵고, 평가가 성과향상 도구가 아니라 운이나 상사와의 관계에 좌우되는 절차로 인식될 수 있다.</w:t>
      </w:r>
    </w:p>
    <w:p>
      <w:pPr>
        <w:keepNext w:val="0"/>
        <w:spacing w:before="0" w:after="0" w:line="336" w:lineRule="auto"/>
        <w:ind w:firstLine="397"/>
        <w:jc w:val="both"/>
      </w:pPr>
      <w:r>
        <w:rPr>
          <w:rFonts w:ascii="Malgun Gothic" w:hAnsi="Malgun Gothic" w:eastAsia="Malgun Gothic"/>
          <w:sz w:val="19"/>
        </w:rPr>
        <w:t>두 번째 이유는 평가자 오류를 줄이고 조직 내 형평성을 확보하기 위해서이다. 평가자는 후광효과, 관대화·엄격화 경향, 중심화 경향, 최근효과, 유사성 편향 등의 영향을 받을 수 있다. 김명소와 이광진(2008)은 다면평가에서 평가형식과 척도화 방식이 관대화 오류와 후광효과에 영향을 줄 수 있음을 보여주었다. 이는 평가표를 단순히 배포하는 것만으로는 신뢰성을 확보하기 어렵고, 행동기준의 구체화와 평가자 훈련이 필요하다는 점을 시사한다.</w:t>
      </w:r>
    </w:p>
    <w:p>
      <w:pPr>
        <w:keepNext w:val="0"/>
        <w:spacing w:before="0" w:after="0" w:line="336" w:lineRule="auto"/>
        <w:ind w:firstLine="397"/>
        <w:jc w:val="both"/>
      </w:pPr>
      <w:r>
        <w:rPr>
          <w:rFonts w:ascii="Malgun Gothic" w:hAnsi="Malgun Gothic" w:eastAsia="Malgun Gothic"/>
          <w:sz w:val="19"/>
        </w:rPr>
        <w:t>세 번째 이유는 평가결과를 교육과 성과개선에 활용할 수 있게 하기 때문이다. 평가점수가 매번 불안정하면 개인의 강점과 약점을 정확히 진단하기 어렵고, 교육 후 성과가 실제로 향상되었는지도 판단하기 어렵다. 반면 일정한 기준 아래 누적된 평가자료는 구성원의 변화 추세를 파악하고, 교육훈련과 코칭의 효과를 검증하며, 장기적인 인재육성 계획을 세우는 데 활용될 수 있다.</w:t>
      </w:r>
    </w:p>
    <w:p>
      <w:pPr>
        <w:keepNext/>
        <w:spacing w:before="80" w:after="60" w:line="300" w:lineRule="auto"/>
        <w:jc w:val="left"/>
      </w:pPr>
      <w:r>
        <w:rPr>
          <w:rFonts w:ascii="Malgun Gothic" w:hAnsi="Malgun Gothic" w:eastAsia="Malgun Gothic"/>
          <w:b/>
          <w:color w:val="373737"/>
          <w:sz w:val="22"/>
        </w:rPr>
        <w:t>4. 타당성과 신뢰성의 관계 및 확보 방안</w:t>
      </w:r>
    </w:p>
    <w:p>
      <w:pPr>
        <w:keepNext w:val="0"/>
        <w:spacing w:before="0" w:after="0" w:line="336" w:lineRule="auto"/>
        <w:ind w:firstLine="397"/>
        <w:jc w:val="both"/>
      </w:pPr>
      <w:r>
        <w:rPr>
          <w:rFonts w:ascii="Malgun Gothic" w:hAnsi="Malgun Gothic" w:eastAsia="Malgun Gothic"/>
          <w:sz w:val="19"/>
        </w:rPr>
        <w:t>타당성과 신뢰성은 서로 밀접하지만 동일한 개념은 아니다. 평가가 일관되더라도 잘못된 대상을 측정한다면 신뢰성은 높지만 타당성은 낮을 수 있다. 예를 들어 모든 관리자가 직원의 야근시간을 정확히 기록하여 일관되게 점수를 부여하더라도, 야근시간이 실제 업무성과나 직무역량을 나타내지 못한다면 그 평가는 타당하지 않다. 반대로 평가항목이 직무성과를 잘 반영하도록 설계되어 있어도 평가자마다 기준을 다르게 해석하면 결과가 흔들려 신뢰성이 낮아진다. 일반적으로 안정적인 측정이 전제되어야 타당성을 확보할 수 있으므로, 신뢰성은 타당성의 필요조건이지만 충분조건은 아니다.</w:t>
      </w:r>
    </w:p>
    <w:p>
      <w:pPr>
        <w:keepNext w:val="0"/>
        <w:spacing w:before="0" w:after="0" w:line="336" w:lineRule="auto"/>
        <w:ind w:firstLine="397"/>
        <w:jc w:val="both"/>
      </w:pPr>
      <w:r>
        <w:rPr>
          <w:rFonts w:ascii="Malgun Gothic" w:hAnsi="Malgun Gothic" w:eastAsia="Malgun Gothic"/>
          <w:sz w:val="19"/>
        </w:rPr>
        <w:t>두 요건을 높이기 위해서는 먼저 체계적인 직무분석을 통해 직무별 핵심과업과 성과기준을 명확히 해야 한다. 평가항목은 조직의 전략과 직무수행에 직접 관련된 요소로 구성하고, 추상적인 표현보다 관찰 가능한 행동과 결과를 제시해야 한다. 예를 들어 “책임감이 높다”는 표현 대신 “기한 내 업무를 완료하고 문제가 발생했을 때 원인과 조치내용을 보고한다”와 같이 행동기준을 구체화하면 평가자의 해석 차이를 줄일 수 있다. 행동기준평정척도와 목표관리 방식도 직무특성에 맞게 활용할 필요가 있다.</w:t>
      </w:r>
    </w:p>
    <w:p>
      <w:pPr>
        <w:keepNext w:val="0"/>
        <w:spacing w:before="0" w:after="0" w:line="336" w:lineRule="auto"/>
        <w:ind w:firstLine="397"/>
        <w:jc w:val="both"/>
      </w:pPr>
      <w:r>
        <w:rPr>
          <w:rFonts w:ascii="Malgun Gothic" w:hAnsi="Malgun Gothic" w:eastAsia="Malgun Gothic"/>
          <w:sz w:val="19"/>
        </w:rPr>
        <w:t>둘째, 평가자 훈련과 평가조정 회의를 실시해야 한다. 평가자에게 대표적인 오류 사례를 교육하고, 실제 사례를 활용하여 등급을 부여하는 연습을 진행하면 평가기준에 대한 공통 이해를 형성할 수 있다. 부서별 점수분포와 평가근거를 비교하는 평가조정 회의는 특정 평가자의 지나친 관대화나 엄격화를 발견하는 데 도움이 된다. 다만 강제적인 등급배분만 적용하면 실제 성과차이를 왜곡할 수 있으므로, 점수분포보다 평가근거의 적절성과 기준 적용의 일관성을 중심으로 조정해야 한다.</w:t>
      </w:r>
    </w:p>
    <w:p>
      <w:pPr>
        <w:keepNext w:val="0"/>
        <w:spacing w:before="0" w:after="0" w:line="336" w:lineRule="auto"/>
        <w:ind w:firstLine="397"/>
        <w:jc w:val="both"/>
      </w:pPr>
      <w:r>
        <w:rPr>
          <w:rFonts w:ascii="Malgun Gothic" w:hAnsi="Malgun Gothic" w:eastAsia="Malgun Gothic"/>
          <w:sz w:val="19"/>
        </w:rPr>
        <w:t>셋째, 복수의 평가자료를 활용해야 한다. 상사평가에만 의존하지 않고 업무성과 지표, 동료·부하·고객의 의견, 자기평가, 프로젝트 결과 등을 직무에 맞게 결합하면 한 평가자의 편견을 줄일 수 있다. 한인섭(2016)의 공기업 다면평가 분석은 평가항목의 수렴타당성은 높을 수 있지만 항목 간 구별이 충분하지 않을 수 있으며, 평가자 집단의 구성과 가중치도 중요하다는 점을 보여준다. 따라서 다면평가는 평가자 수를 늘리는 것 자체보다 누가 어떤 행동을 관찰할 수 있는지에 따라 평가권한을 설계해야 한다.</w:t>
      </w:r>
    </w:p>
    <w:p>
      <w:pPr>
        <w:keepNext w:val="0"/>
        <w:spacing w:before="0" w:after="0" w:line="336" w:lineRule="auto"/>
        <w:ind w:firstLine="397"/>
        <w:jc w:val="both"/>
      </w:pPr>
      <w:r>
        <w:rPr>
          <w:rFonts w:ascii="Malgun Gothic" w:hAnsi="Malgun Gothic" w:eastAsia="Malgun Gothic"/>
          <w:sz w:val="19"/>
        </w:rPr>
        <w:t>넷째, 평가결과의 통계적 점검과 피드백 절차가 필요하다. 평가자별 평균과 분산, 항목 간 상관관계, 객관적 성과지표와 평가점수의 관계를 정기적으로 분석하면 타당성과 신뢰성의 문제를 조기에 발견할 수 있다. 또한 구성원에게 평가근거와 개선방향을 설명하고 이의제기 기회를 보장해야 한다. 윤대혁(2009)이 제시한 인사평가 운영 개선의 논의처럼 평가제도는 설계뿐 아니라 실제 운영과 피드백 과정에서 지속적으로 보완되어야 한다.</w:t>
      </w:r>
    </w:p>
    <w:p>
      <w:pPr>
        <w:keepNext/>
        <w:spacing w:before="40" w:after="100" w:line="288" w:lineRule="auto"/>
        <w:jc w:val="left"/>
      </w:pPr>
      <w:r>
        <w:rPr>
          <w:rFonts w:ascii="Malgun Gothic" w:hAnsi="Malgun Gothic" w:eastAsia="Malgun Gothic"/>
          <w:b/>
          <w:color w:val="1F4E79"/>
          <w:sz w:val="26"/>
        </w:rPr>
        <w:t>Ⅲ. 결론</w:t>
      </w:r>
    </w:p>
    <w:p>
      <w:pPr>
        <w:keepNext w:val="0"/>
        <w:spacing w:before="0" w:after="0" w:line="336" w:lineRule="auto"/>
        <w:ind w:firstLine="397"/>
        <w:jc w:val="both"/>
      </w:pPr>
      <w:r>
        <w:rPr>
          <w:rFonts w:ascii="Malgun Gothic" w:hAnsi="Malgun Gothic" w:eastAsia="Malgun Gothic"/>
          <w:sz w:val="19"/>
        </w:rPr>
        <w:t>인사고과의 타당성과 신뢰성은 평가표의 기술적 완성도를 넘어 조직의 공정성과 성과를 결정하는 핵심 조건이다. 타당성은 평가가 직무와 조직전략에 필요한 성과를 제대로 측정하도록 하며, 신뢰성은 평가자와 시점이 달라져도 결과가 일관되도록 한다. 두 조건이 확보되지 않으면 보상과 승진의 오류, 우수인재의 이탈, 구성원의 동기 저하, 교육투자의 낭비 및 인사분쟁이 발생할 수 있다. 반대로 직무분석에 근거한 명확한 기준, 행동 중심의 척도, 평가자 훈련, 복수 자료의 활용, 평가조정과 피드백 절차가 갖추어지면 인사고과는 통제수단이 아니라 성과향상과 인재육성을 위한 제도로 기능할 수 있다. 따라서 조직은 평가를 한 번 설계한 뒤 고정된 제도로 운영하기보다 실제 평가자료를 통해 타당성과 신뢰성을 지속적으로 검증하고 개선해야 한다.</w:t>
      </w:r>
    </w:p>
    <w:p>
      <w:pPr>
        <w:keepNext/>
        <w:spacing w:before="40" w:after="100" w:line="288" w:lineRule="auto"/>
        <w:jc w:val="left"/>
      </w:pPr>
      <w:r>
        <w:rPr>
          <w:rFonts w:ascii="Malgun Gothic" w:hAnsi="Malgun Gothic" w:eastAsia="Malgun Gothic"/>
          <w:b/>
          <w:color w:val="1F4E79"/>
          <w:sz w:val="26"/>
        </w:rPr>
        <w:t>Ⅳ. 참고문헌</w:t>
      </w:r>
    </w:p>
    <w:p>
      <w:pPr>
        <w:keepNext w:val="0"/>
        <w:spacing w:before="0" w:after="20" w:line="324" w:lineRule="auto"/>
        <w:ind w:left="340" w:hanging="340"/>
        <w:jc w:val="left"/>
      </w:pPr>
      <w:r>
        <w:rPr>
          <w:rFonts w:ascii="Malgun Gothic" w:hAnsi="Malgun Gothic" w:eastAsia="Malgun Gothic"/>
          <w:sz w:val="18"/>
        </w:rPr>
        <w:t>김명소, 이광진. (2008). 평가형식 및 척도화 방법이 다면평가에서 관대화 오류 및 후광효과에 미치는 영향. 한국심리학회지: 산업 및 조직, 21(2), 201-224.</w:t>
      </w:r>
    </w:p>
    <w:p>
      <w:pPr>
        <w:keepNext w:val="0"/>
        <w:spacing w:before="0" w:after="20" w:line="324" w:lineRule="auto"/>
        <w:ind w:left="340" w:hanging="340"/>
        <w:jc w:val="left"/>
      </w:pPr>
      <w:r>
        <w:rPr>
          <w:rFonts w:ascii="Malgun Gothic" w:hAnsi="Malgun Gothic" w:eastAsia="Malgun Gothic"/>
          <w:sz w:val="18"/>
        </w:rPr>
        <w:t>윤대혁. (2009). 인사평가제도의 운영실태 및 개선방안: FMA의 사례를 중심으로. 인적자원관리연구, 16(2), 129-149.</w:t>
      </w:r>
    </w:p>
    <w:p>
      <w:pPr>
        <w:keepNext w:val="0"/>
        <w:spacing w:before="0" w:after="20" w:line="324" w:lineRule="auto"/>
        <w:ind w:left="340" w:hanging="340"/>
        <w:jc w:val="left"/>
      </w:pPr>
      <w:r>
        <w:rPr>
          <w:rFonts w:ascii="Malgun Gothic" w:hAnsi="Malgun Gothic" w:eastAsia="Malgun Gothic"/>
          <w:sz w:val="18"/>
        </w:rPr>
        <w:t>정연앙, 손일상. (2006). 인사평가 타당성분석을 위한 방법론적 연구. 대한경영학회지, 19(2), 703-734.</w:t>
      </w:r>
    </w:p>
    <w:p>
      <w:pPr>
        <w:keepNext w:val="0"/>
        <w:spacing w:before="0" w:after="20" w:line="324" w:lineRule="auto"/>
        <w:ind w:left="340" w:hanging="340"/>
        <w:jc w:val="left"/>
      </w:pPr>
      <w:r>
        <w:rPr>
          <w:rFonts w:ascii="Malgun Gothic" w:hAnsi="Malgun Gothic" w:eastAsia="Malgun Gothic"/>
          <w:sz w:val="18"/>
        </w:rPr>
        <w:t>한인섭. (2016). 공기업 다면평가의 타당성과 신뢰성 분석. 한국행정학보, 50(2), 131-153.</w:t>
      </w:r>
    </w:p>
    <w:p>
      <w:r>
        <w:br w:type="page"/>
      </w:r>
    </w:p>
    <w:p>
      <w:pPr>
        <w:keepNext w:val="0"/>
        <w:spacing w:before="400" w:after="300" w:line="264" w:lineRule="auto"/>
        <w:jc w:val="center"/>
      </w:pPr>
      <w:r>
        <w:rPr>
          <w:rFonts w:ascii="Malgun Gothic" w:hAnsi="Malgun Gothic" w:eastAsia="Malgun Gothic"/>
          <w:b/>
          <w:color w:val="1F4E79"/>
          <w:sz w:val="36"/>
        </w:rPr>
        <w:t>과제 자료 이용 안내</w:t>
      </w:r>
    </w:p>
    <w:tbl>
      <w:tblPr>
        <w:tblW w:type="auto" w:w="0"/>
        <w:tblLayout w:type="fixed"/>
        <w:tblLook w:firstColumn="1" w:firstRow="1" w:lastColumn="0" w:lastRow="0" w:noHBand="0" w:noVBand="1" w:val="04A0"/>
      </w:tblPr>
      <w:tblGrid>
        <w:gridCol w:w="8220"/>
      </w:tblGrid>
      <w:tr>
        <w:trPr>
          <w:cantSplit/>
        </w:trPr>
        <w:tc>
          <w:tcPr>
            <w:tcW w:type="dxa" w:w="9518"/>
            <w:vAlign w:val="center"/>
            <w:shd w:fill="FFF8E7"/>
            <w:tcBorders>
              <w:top w:val="single" w:sz="10" w:color="D6B656"/>
              <w:left w:val="single" w:sz="10" w:color="D6B656"/>
              <w:bottom w:val="single" w:sz="10" w:color="D6B656"/>
              <w:right w:val="single" w:sz="10" w:color="D6B656"/>
            </w:tcBorders>
          </w:tcPr>
          <w:p>
            <w:pPr>
              <w:keepNext w:val="0"/>
              <w:spacing w:before="80" w:after="120" w:line="312" w:lineRule="auto"/>
              <w:jc w:val="left"/>
            </w:pPr>
            <w:r>
              <w:rPr>
                <w:rFonts w:ascii="Malgun Gothic" w:hAnsi="Malgun Gothic" w:eastAsia="Malgun Gothic"/>
                <w:b/>
                <w:color w:val="9C6500"/>
                <w:sz w:val="26"/>
              </w:rPr>
              <w:t>주의사항</w:t>
            </w:r>
          </w:p>
          <w:p>
            <w:pPr>
              <w:keepNext w:val="0"/>
              <w:spacing w:before="0" w:after="60" w:line="372" w:lineRule="auto"/>
              <w:jc w:val="left"/>
            </w:pPr>
            <w:r>
              <w:rPr>
                <w:rFonts w:ascii="Malgun Gothic" w:hAnsi="Malgun Gothic" w:eastAsia="Malgun Gothic"/>
                <w:b w:val="0"/>
                <w:sz w:val="22"/>
              </w:rPr>
              <w:t>본 자료는 학점은행제 과제 참고용 샘플입니다.</w:t>
            </w:r>
          </w:p>
          <w:p>
            <w:pPr>
              <w:keepNext w:val="0"/>
              <w:spacing w:before="0" w:after="60" w:line="372" w:lineRule="auto"/>
              <w:jc w:val="left"/>
            </w:pPr>
            <w:r>
              <w:rPr>
                <w:rFonts w:ascii="Malgun Gothic" w:hAnsi="Malgun Gothic" w:eastAsia="Malgun Gothic"/>
                <w:b w:val="0"/>
                <w:sz w:val="22"/>
              </w:rPr>
              <w:t>위 학습 자료를 그대로 제출할 경우 모사율(표절률)로 인하여 성적 불이익 또는 해당 과목 0점 처리될 수 있습니다.</w:t>
            </w:r>
          </w:p>
          <w:p>
            <w:pPr>
              <w:keepNext w:val="0"/>
              <w:spacing w:before="0" w:after="60" w:line="372" w:lineRule="auto"/>
              <w:jc w:val="left"/>
            </w:pPr>
            <w:r>
              <w:rPr>
                <w:rFonts w:ascii="Malgun Gothic" w:hAnsi="Malgun Gothic" w:eastAsia="Malgun Gothic"/>
                <w:b/>
                <w:sz w:val="22"/>
              </w:rPr>
              <w:t>반드시 본인의 언어로 수정·재작성하여 제출하시기 바랍니다.</w:t>
            </w:r>
          </w:p>
        </w:tc>
      </w:tr>
    </w:tbl>
    <w:p>
      <w:pPr>
        <w:keepNext w:val="0"/>
        <w:spacing w:before="360" w:after="200" w:line="288" w:lineRule="auto"/>
        <w:jc w:val="center"/>
      </w:pPr>
      <w:r>
        <w:rPr>
          <w:rFonts w:ascii="Malgun Gothic" w:hAnsi="Malgun Gothic" w:eastAsia="Malgun Gothic"/>
          <w:b/>
          <w:color w:val="1F4E79"/>
          <w:sz w:val="28"/>
        </w:rPr>
        <w:t>과제 수정이 어려우신가요?</w:t>
      </w:r>
    </w:p>
    <w:p>
      <w:pPr>
        <w:keepNext w:val="0"/>
        <w:spacing w:before="0" w:after="40" w:line="348" w:lineRule="auto"/>
        <w:jc w:val="center"/>
      </w:pPr>
      <w:r>
        <w:rPr>
          <w:rFonts w:ascii="Malgun Gothic" w:hAnsi="Malgun Gothic" w:eastAsia="Malgun Gothic"/>
          <w:sz w:val="22"/>
        </w:rPr>
        <w:t>국민원격교육관리센터에서 1:1 과제 수정 도움을 드립니다.</w:t>
      </w:r>
    </w:p>
    <w:p>
      <w:pPr>
        <w:keepNext w:val="0"/>
        <w:spacing w:before="0" w:after="40" w:line="348" w:lineRule="auto"/>
        <w:jc w:val="center"/>
      </w:pPr>
      <w:r>
        <w:rPr>
          <w:rFonts w:ascii="Malgun Gothic" w:hAnsi="Malgun Gothic" w:eastAsia="Malgun Gothic"/>
          <w:sz w:val="22"/>
        </w:rPr>
        <w:t>아래 연락처로 문의해 주세요.</w:t>
      </w:r>
    </w:p>
    <w:tbl>
      <w:tblPr>
        <w:tblW w:type="auto" w:w="0"/>
        <w:tblLayout w:type="fixed"/>
        <w:tblLook w:firstColumn="1" w:firstRow="1" w:lastColumn="0" w:lastRow="0" w:noHBand="0" w:noVBand="1" w:val="04A0"/>
      </w:tblPr>
      <w:tblGrid>
        <w:gridCol w:w="7087"/>
      </w:tblGrid>
      <w:tr>
        <w:trPr>
          <w:cantSplit/>
        </w:trPr>
        <w:tc>
          <w:tcPr>
            <w:tcW w:type="dxa" w:w="9518"/>
            <w:vAlign w:val="center"/>
            <w:shd w:fill="F5F8FC"/>
            <w:tcBorders>
              <w:top w:val="single" w:sz="4" w:color="D9E2F3"/>
              <w:left w:val="single" w:sz="4" w:color="D9E2F3"/>
              <w:bottom w:val="single" w:sz="4" w:color="D9E2F3"/>
              <w:right w:val="single" w:sz="4" w:color="D9E2F3"/>
            </w:tcBorders>
          </w:tcPr>
          <w:p>
            <w:pPr>
              <w:keepNext w:val="0"/>
              <w:spacing w:before="40" w:after="40" w:line="288" w:lineRule="auto"/>
              <w:jc w:val="center"/>
            </w:pPr>
            <w:r>
              <w:rPr>
                <w:rFonts w:ascii="Malgun Gothic" w:hAnsi="Malgun Gothic" w:eastAsia="Malgun Gothic"/>
                <w:b/>
                <w:color w:val="373737"/>
                <w:sz w:val="22"/>
              </w:rPr>
              <w:t>전화: 050-7878-7044</w:t>
            </w:r>
          </w:p>
        </w:tc>
      </w:tr>
      <w:tr>
        <w:trPr>
          <w:cantSplit/>
        </w:trPr>
        <w:tc>
          <w:tcPr>
            <w:tcW w:type="dxa" w:w="9518"/>
            <w:vAlign w:val="center"/>
            <w:shd w:fill="FFFFFF"/>
            <w:tcBorders>
              <w:top w:val="single" w:sz="4" w:color="D9E2F3"/>
              <w:left w:val="single" w:sz="4" w:color="D9E2F3"/>
              <w:bottom w:val="single" w:sz="4" w:color="D9E2F3"/>
              <w:right w:val="single" w:sz="4" w:color="D9E2F3"/>
            </w:tcBorders>
          </w:tcPr>
          <w:p>
            <w:pPr>
              <w:keepNext w:val="0"/>
              <w:spacing w:before="40" w:after="40" w:line="288" w:lineRule="auto"/>
              <w:jc w:val="center"/>
            </w:pPr>
            <w:r>
              <w:rPr>
                <w:rFonts w:ascii="Malgun Gothic" w:hAnsi="Malgun Gothic" w:eastAsia="Malgun Gothic"/>
                <w:b/>
                <w:color w:val="373737"/>
                <w:sz w:val="22"/>
              </w:rPr>
              <w:t>카카오톡: @국민원격교육관리센터</w:t>
            </w:r>
          </w:p>
        </w:tc>
      </w:tr>
      <w:tr>
        <w:trPr>
          <w:cantSplit/>
        </w:trPr>
        <w:tc>
          <w:tcPr>
            <w:tcW w:type="dxa" w:w="9518"/>
            <w:vAlign w:val="center"/>
            <w:shd w:fill="F5F8FC"/>
            <w:tcBorders>
              <w:top w:val="single" w:sz="4" w:color="D9E2F3"/>
              <w:left w:val="single" w:sz="4" w:color="D9E2F3"/>
              <w:bottom w:val="single" w:sz="4" w:color="D9E2F3"/>
              <w:right w:val="single" w:sz="4" w:color="D9E2F3"/>
            </w:tcBorders>
          </w:tcPr>
          <w:p>
            <w:pPr>
              <w:keepNext w:val="0"/>
              <w:spacing w:before="40" w:after="40" w:line="288" w:lineRule="auto"/>
              <w:jc w:val="center"/>
            </w:pPr>
            <w:r>
              <w:rPr>
                <w:rFonts w:ascii="Malgun Gothic" w:hAnsi="Malgun Gothic" w:eastAsia="Malgun Gothic"/>
                <w:b/>
                <w:color w:val="373737"/>
                <w:sz w:val="22"/>
              </w:rPr>
              <w:t>운영시간: 평일 10:00–19:00</w:t>
            </w:r>
          </w:p>
        </w:tc>
      </w:tr>
      <w:tr>
        <w:trPr>
          <w:cantSplit/>
        </w:trPr>
        <w:tc>
          <w:tcPr>
            <w:tcW w:type="dxa" w:w="9518"/>
            <w:vAlign w:val="center"/>
            <w:shd w:fill="FFFFFF"/>
            <w:tcBorders>
              <w:top w:val="single" w:sz="4" w:color="D9E2F3"/>
              <w:left w:val="single" w:sz="4" w:color="D9E2F3"/>
              <w:bottom w:val="single" w:sz="4" w:color="D9E2F3"/>
              <w:right w:val="single" w:sz="4" w:color="D9E2F3"/>
            </w:tcBorders>
          </w:tcPr>
          <w:p>
            <w:pPr>
              <w:keepNext w:val="0"/>
              <w:spacing w:before="40" w:after="40" w:line="288" w:lineRule="auto"/>
              <w:jc w:val="center"/>
            </w:pPr>
            <w:r>
              <w:rPr>
                <w:rFonts w:ascii="Malgun Gothic" w:hAnsi="Malgun Gothic" w:eastAsia="Malgun Gothic"/>
                <w:b/>
                <w:color w:val="373737"/>
                <w:sz w:val="22"/>
              </w:rPr>
              <w:t>웹사이트: korealms.co.kr</w:t>
            </w:r>
          </w:p>
        </w:tc>
      </w:tr>
    </w:tbl>
    <w:sectPr w:rsidR="00FC693F" w:rsidRPr="0006063C" w:rsidSect="00034616">
      <w:footerReference w:type="default" r:id="rId9"/>
      <w:pgSz w:w="12240" w:h="15840"/>
      <w:pgMar w:top="907" w:right="1361" w:bottom="907" w:left="1361"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keepNext w:val="0"/>
      <w:spacing w:before="0" w:after="0" w:line="240" w:lineRule="auto"/>
      <w:jc w:val="center"/>
    </w:pPr>
    <w:r>
      <w:rPr>
        <w:rFonts w:ascii="Malgun Gothic" w:hAnsi="Malgun Gothic" w:eastAsia="Malgun Gothic"/>
        <w:sz w:val="18"/>
      </w:rPr>
      <w:t xml:space="preserve">- </w:t>
    </w:r>
    <w:r>
      <w:rPr>
        <w:rFonts w:ascii="Malgun Gothic" w:hAnsi="Malgun Gothic" w:eastAsia="Malgun Gothic"/>
        <w:sz w:val="18"/>
      </w:rPr>
      <w:fldChar w:fldCharType="begin"/>
      <w:instrText xml:space="preserve">PAGE</w:instrText>
      <w:fldChar w:fldCharType="end"/>
    </w:r>
    <w:r>
      <w:rPr>
        <w:rFonts w:ascii="Malgun Gothic" w:hAnsi="Malgun Gothic" w:eastAsia="Malgun Gothic"/>
        <w:sz w:val="18"/>
      </w:rPr>
      <w:t xml:space="preserve"> -</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pPr>
    <w:rPr>
      <w:rFonts w:ascii="Malgun Gothic" w:hAnsi="Malgun Gothic" w:eastAsia="Malgun Gothic"/>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인사고과의 타당성과 신뢰성이 중요한 이유</dc:title>
  <dc:subject>인적자원관리 과제 참고자료</dc:subject>
  <dc:creator/>
  <cp:keywords>인사고과, 타당성, 신뢰성, 인적자원관리</cp:keywords>
  <dc:description>generated by python-docx</dc:description>
  <cp:lastModifiedBy/>
  <cp:revision>1</cp:revision>
  <dcterms:created xsi:type="dcterms:W3CDTF">2013-12-23T23:15:00Z</dcterms:created>
  <dcterms:modified xsi:type="dcterms:W3CDTF">2013-12-23T23:15:00Z</dcterms:modified>
  <cp:category/>
</cp:coreProperties>
</file>