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480"/>
        <w:jc w:val="center"/>
      </w:pPr>
      <w:r>
        <w:rPr>
          <w:rFonts w:ascii="NanumSquare" w:hAnsi="NanumSquare" w:eastAsia="NanumSquare"/>
          <w:b/>
          <w:color w:val="5B9BD5"/>
          <w:sz w:val="22"/>
        </w:rPr>
        <w:t>CLINICAL PSYCHOLOGY</w:t>
      </w:r>
    </w:p>
    <w:p>
      <w:pPr>
        <w:spacing w:after="240"/>
        <w:jc w:val="center"/>
      </w:pPr>
      <w:r>
        <w:rPr>
          <w:rFonts w:ascii="NanumSquare" w:hAnsi="NanumSquare" w:eastAsia="NanumSquare"/>
          <w:b/>
          <w:color w:val="1F4E79"/>
          <w:sz w:val="48"/>
        </w:rPr>
        <w:t>임상심리학</w:t>
      </w:r>
    </w:p>
    <w:p>
      <w:pPr>
        <w:spacing w:after="480" w:line="324" w:lineRule="auto"/>
        <w:jc w:val="center"/>
      </w:pPr>
      <w:r>
        <w:rPr>
          <w:rFonts w:ascii="NanumSquare" w:hAnsi="NanumSquare" w:eastAsia="NanumSquare"/>
          <w:b/>
          <w:color w:val="262626"/>
          <w:sz w:val="32"/>
        </w:rPr>
        <w:t>임상심리 윤리규정 중 비밀유지와 관련된 사례를 제시하고</w:t>
        <w:br/>
        <w:t>적절한 대처 방법을 설명하시오</w:t>
      </w:r>
    </w:p>
    <w:p>
      <w:pPr>
        <w:spacing w:after="360"/>
        <w:jc w:val="center"/>
      </w:pPr>
      <w:r>
        <w:rPr>
          <w:rFonts w:ascii="NanumGothic" w:hAnsi="NanumGothic" w:eastAsia="NanumGothic"/>
          <w:b w:val="0"/>
          <w:color w:val="5B9BD5"/>
          <w:sz w:val="24"/>
        </w:rPr>
        <w:t>━━━━━━━━━━━━━━━━━━━━━━━━━━━━</w:t>
      </w:r>
    </w:p>
    <w:tbl>
      <w:tblPr>
        <w:tblW w:type="auto" w:w="0"/>
        <w:jc w:val="center"/>
        <w:tblLayout w:type="fixed"/>
        <w:tblLook w:firstColumn="1" w:firstRow="1" w:lastColumn="0" w:lastRow="0" w:noHBand="0" w:noVBand="1" w:val="04A0"/>
      </w:tblPr>
      <w:tblGrid>
        <w:gridCol w:w="8334"/>
      </w:tblGrid>
      <w:tr>
        <w:tc>
          <w:tcPr>
            <w:tcW w:type="dxa" w:w="9648"/>
            <w:shd w:fill="F3F6FA"/>
            <w:tcMar>
              <w:top w:w="220" w:type="dxa"/>
              <w:start w:w="260" w:type="dxa"/>
              <w:bottom w:w="220" w:type="dxa"/>
              <w:end w:w="260" w:type="dxa"/>
            </w:tcMar>
          </w:tcPr>
          <w:p>
            <w:pPr>
              <w:jc w:val="center"/>
            </w:pPr>
            <w:r>
              <w:rPr>
                <w:rFonts w:ascii="NanumSquare" w:hAnsi="NanumSquare" w:eastAsia="NanumSquare"/>
                <w:b/>
                <w:color w:val="1F4E79"/>
                <w:sz w:val="26"/>
              </w:rPr>
              <w:t>목  차</w:t>
            </w:r>
          </w:p>
          <w:p>
            <w:pPr>
              <w:spacing w:after="40"/>
            </w:pPr>
            <w:r>
              <w:rPr>
                <w:rFonts w:ascii="NanumGothic" w:hAnsi="NanumGothic" w:eastAsia="NanumGothic"/>
                <w:b w:val="0"/>
                <w:sz w:val="20"/>
              </w:rPr>
              <w:t>Ⅰ. 서론</w:t>
            </w:r>
          </w:p>
          <w:p>
            <w:pPr>
              <w:spacing w:after="40"/>
            </w:pPr>
            <w:r>
              <w:rPr>
                <w:rFonts w:ascii="NanumGothic" w:hAnsi="NanumGothic" w:eastAsia="NanumGothic"/>
                <w:b w:val="0"/>
                <w:sz w:val="20"/>
              </w:rPr>
              <w:t>Ⅱ. 비밀유지의 윤리적 의미와 한계</w:t>
            </w:r>
          </w:p>
          <w:p>
            <w:pPr>
              <w:spacing w:after="40"/>
            </w:pPr>
            <w:r>
              <w:rPr>
                <w:rFonts w:ascii="NanumGothic" w:hAnsi="NanumGothic" w:eastAsia="NanumGothic"/>
                <w:b w:val="0"/>
                <w:sz w:val="20"/>
              </w:rPr>
              <w:t>Ⅲ. 비밀유지 관련 사례와 적절한 대처</w:t>
            </w:r>
          </w:p>
          <w:p>
            <w:pPr>
              <w:spacing w:after="40"/>
            </w:pPr>
            <w:r>
              <w:rPr>
                <w:rFonts w:ascii="NanumGothic" w:hAnsi="NanumGothic" w:eastAsia="NanumGothic"/>
                <w:b w:val="0"/>
                <w:sz w:val="20"/>
              </w:rPr>
              <w:t xml:space="preserve">    1. 자·타해 위험이 있는 성인 내담자</w:t>
            </w:r>
          </w:p>
          <w:p>
            <w:pPr>
              <w:spacing w:after="40"/>
            </w:pPr>
            <w:r>
              <w:rPr>
                <w:rFonts w:ascii="NanumGothic" w:hAnsi="NanumGothic" w:eastAsia="NanumGothic"/>
                <w:b w:val="0"/>
                <w:sz w:val="20"/>
              </w:rPr>
              <w:t xml:space="preserve">    2. 아동학대가 의심되는 미성년 내담자</w:t>
            </w:r>
          </w:p>
          <w:p>
            <w:pPr>
              <w:spacing w:after="40"/>
            </w:pPr>
            <w:r>
              <w:rPr>
                <w:rFonts w:ascii="NanumGothic" w:hAnsi="NanumGothic" w:eastAsia="NanumGothic"/>
                <w:b w:val="0"/>
                <w:sz w:val="20"/>
              </w:rPr>
              <w:t xml:space="preserve">    3. 기관이 심리평가 자료를 요구하는 경우</w:t>
            </w:r>
          </w:p>
          <w:p>
            <w:pPr>
              <w:spacing w:after="40"/>
            </w:pPr>
            <w:r>
              <w:rPr>
                <w:rFonts w:ascii="NanumGothic" w:hAnsi="NanumGothic" w:eastAsia="NanumGothic"/>
                <w:b w:val="0"/>
                <w:sz w:val="20"/>
              </w:rPr>
              <w:t>Ⅳ. 실무적 의사결정 절차</w:t>
            </w:r>
          </w:p>
          <w:p>
            <w:pPr>
              <w:spacing w:after="40"/>
            </w:pPr>
            <w:r>
              <w:rPr>
                <w:rFonts w:ascii="NanumGothic" w:hAnsi="NanumGothic" w:eastAsia="NanumGothic"/>
                <w:b w:val="0"/>
                <w:sz w:val="20"/>
              </w:rPr>
              <w:t>Ⅴ. 결론</w:t>
            </w:r>
          </w:p>
          <w:p>
            <w:pPr>
              <w:spacing w:after="40"/>
            </w:pPr>
            <w:r>
              <w:rPr>
                <w:rFonts w:ascii="NanumGothic" w:hAnsi="NanumGothic" w:eastAsia="NanumGothic"/>
                <w:b w:val="0"/>
                <w:sz w:val="20"/>
              </w:rPr>
              <w:t>참고문헌</w:t>
            </w:r>
          </w:p>
        </w:tc>
      </w:tr>
    </w:tbl>
    <w:p>
      <w:pPr>
        <w:spacing w:before="440"/>
        <w:jc w:val="center"/>
      </w:pPr>
      <w:r>
        <w:rPr>
          <w:rFonts w:ascii="NanumGothic" w:hAnsi="NanumGothic" w:eastAsia="NanumGothic"/>
          <w:b w:val="0"/>
          <w:color w:val="5A5A5A"/>
          <w:sz w:val="20"/>
        </w:rPr>
        <w:t>제출일: ____________________      제출자: ____________________</w:t>
      </w:r>
    </w:p>
    <w:p>
      <w:r>
        <w:br w:type="page"/>
      </w:r>
    </w:p>
    <w:p>
      <w:pPr>
        <w:pStyle w:val="제목1"/>
        <w:pBdr>
          <w:bottom w:val="single" w:sz="8" w:space="5" w:color="8EA9DB"/>
        </w:pBdr>
        <w:keepNext/>
      </w:pPr>
      <w:r>
        <w:rPr>
          <w:rFonts w:ascii="NanumSquare" w:hAnsi="NanumSquare" w:eastAsia="NanumSquare"/>
          <w:b/>
          <w:color w:val="1F4E79"/>
          <w:sz w:val="30"/>
        </w:rPr>
        <w:t>Ⅰ. 서론</w:t>
      </w:r>
    </w:p>
    <w:p>
      <w:pPr>
        <w:pStyle w:val="본문"/>
        <w:spacing w:after="140"/>
        <w:ind w:firstLine="210"/>
      </w:pPr>
      <w:r>
        <w:rPr>
          <w:rFonts w:ascii="NanumGothic" w:hAnsi="NanumGothic" w:eastAsia="NanumGothic"/>
          <w:b w:val="0"/>
          <w:sz w:val="21"/>
        </w:rPr>
        <w:t>임상심리 장면에서 비밀유지는 내담자가 자신의 경험과 감정을 안전하게 표현하도록 만드는 핵심 조건이다. 내담자는 상담이나 심리평가 과정에서 정신건강 문제, 가족관계, 외상 경험, 범죄 피해, 성적 문제, 직장생활 등 매우 민감한 정보를 제공한다. 이러한 정보가 본인의 의사와 무관하게 공개될 수 있다고 느낀다면 내담자는 중요한 내용을 숨기거나 치료를 중단할 수 있으며, 결과적으로 정확한 평가와 효과적인 개입이 어려워진다. 따라서 비밀유지는 단순한 예의가 아니라 치료적 신뢰와 전문적 책임을 지탱하는 윤리 원칙이라고 할 수 있다.</w:t>
      </w:r>
    </w:p>
    <w:p>
      <w:pPr>
        <w:pStyle w:val="본문"/>
        <w:spacing w:after="140"/>
        <w:ind w:firstLine="210"/>
      </w:pPr>
      <w:r>
        <w:rPr>
          <w:rFonts w:ascii="NanumGothic" w:hAnsi="NanumGothic" w:eastAsia="NanumGothic"/>
          <w:b w:val="0"/>
          <w:sz w:val="21"/>
        </w:rPr>
        <w:t>그러나 비밀유지는 절대적인 원칙은 아니다. 내담자나 타인의 생명과 안전에 중대한 위험이 있거나, 법률상 신고의무가 발생하거나, 필요한 전문서비스 제공을 위해 제한적인 정보 공유가 불가피한 상황에서는 비밀정보의 일부를 공개할 수 있다. 한국임상심리학회 윤리규정 제18조는 비밀정보 보호를 심리학자의 일차적 의무로 정하면서도, 법률에 의해 위임되거나 내담자·심리학자·제3자를 상해로부터 보호하기 위한 경우에는 동의 없이도 최소한의 정보를 노출할 수 있다고 규정한다(한국임상심리학회, 2025). 이처럼 임상심리사는 ‘무조건 비밀을 지키는 것’과 ‘위험을 막기 위해 필요한 조치를 취하는 것’ 사이에서 균형 잡힌 판단을 해야 한다.</w:t>
      </w:r>
    </w:p>
    <w:p>
      <w:pPr>
        <w:pStyle w:val="본문"/>
        <w:spacing w:after="140"/>
        <w:ind w:firstLine="210"/>
      </w:pPr>
      <w:r>
        <w:rPr>
          <w:rFonts w:ascii="NanumGothic" w:hAnsi="NanumGothic" w:eastAsia="NanumGothic"/>
          <w:b w:val="0"/>
          <w:sz w:val="21"/>
        </w:rPr>
        <w:t>본 과제에서는 먼저 임상심리 윤리규정에서 비밀유지가 갖는 의미와 한계를 살펴본다. 이후 자·타해 위험, 아동학대 의심, 조직의 심리검사 자료 요구라는 세 가지 사례를 통해 적절한 대처 방법을 구체적으로 제시하고, 마지막으로 실제 현장에서 활용할 수 있는 단계별 윤리적 의사결정 절차를 정리하고자 한다.</w:t>
      </w:r>
    </w:p>
    <w:p>
      <w:pPr>
        <w:pStyle w:val="제목1"/>
        <w:pBdr>
          <w:bottom w:val="single" w:sz="8" w:space="5" w:color="8EA9DB"/>
        </w:pBdr>
        <w:keepNext/>
      </w:pPr>
      <w:r>
        <w:rPr>
          <w:rFonts w:ascii="NanumSquare" w:hAnsi="NanumSquare" w:eastAsia="NanumSquare"/>
          <w:b/>
          <w:color w:val="1F4E79"/>
          <w:sz w:val="30"/>
        </w:rPr>
        <w:t>Ⅱ. 비밀유지의 윤리적 의미와 한계</w:t>
      </w:r>
    </w:p>
    <w:p>
      <w:pPr>
        <w:pStyle w:val="제목2"/>
        <w:keepNext/>
      </w:pPr>
      <w:r>
        <w:rPr>
          <w:rFonts w:ascii="NanumSquare" w:hAnsi="NanumSquare" w:eastAsia="NanumSquare"/>
          <w:b/>
          <w:color w:val="2F5496"/>
          <w:sz w:val="24"/>
        </w:rPr>
        <w:t>1. 비밀유지의 기본 원칙</w:t>
      </w:r>
    </w:p>
    <w:p>
      <w:pPr>
        <w:pStyle w:val="본문"/>
        <w:spacing w:after="140"/>
        <w:ind w:firstLine="210"/>
      </w:pPr>
      <w:r>
        <w:rPr>
          <w:rFonts w:ascii="NanumGothic" w:hAnsi="NanumGothic" w:eastAsia="NanumGothic"/>
          <w:b w:val="0"/>
          <w:sz w:val="21"/>
        </w:rPr>
        <w:t>비밀유지는 심리학자가 전문적 관계에서 알게 된 정보를 정당한 권한이 없는 사람에게 공개하지 않는 것을 의미한다. 보호 대상에는 상담 중 진술뿐 아니라 심리검사 결과, 진단명, 상담 여부, 예약 기록, 녹음·영상 자료, 전자문서, 가족이나 보호자로부터 얻은 정보도 포함된다. 한국임상심리학회 윤리규정은 연구·교육·평가·치료 과정에서 알게 된 비밀정보를 보호하는 것을 일차적 의무로 정하고, 가족이나 동료에게도 원칙적으로 공개하지 않도록 한다. 또한 기록의 보관·폐기·양도에 관한 규정을 마련하고 자료 보안을 유지하도록 요구한다(한국임상심리학회, 2025).</w:t>
      </w:r>
    </w:p>
    <w:p>
      <w:pPr>
        <w:pStyle w:val="본문"/>
        <w:spacing w:after="140"/>
        <w:ind w:firstLine="210"/>
      </w:pPr>
      <w:r>
        <w:rPr>
          <w:rFonts w:ascii="NanumGothic" w:hAnsi="NanumGothic" w:eastAsia="NanumGothic"/>
          <w:b w:val="0"/>
          <w:sz w:val="21"/>
        </w:rPr>
        <w:t>비밀유지의 실천은 상담실 안에서만 이루어지는 것이 아니다. 대기실에서 내담자의 이름이나 진단명을 큰 소리로 부르지 않는 것, 사례회의에서 개인을 식별할 수 있는 정보를 제거하는 것, 검사보고서를 암호화해 전송하는 것, 상담기록에 접근할 수 있는 사람을 최소화하는 것, 교육·발표 자료에서 사례의 세부 특징을 변형하는 것 등이 모두 비밀유지에 포함된다. 특히 전자기록과 온라인 상담이 증가한 환경에서는 계정 공유 금지, 이중 인증, 보안 저장장치 사용, 공용 메신저를 통한 민감정보 전송 금지와 같은 기술적 조치도 필수적이다.</w:t>
      </w:r>
    </w:p>
    <w:p>
      <w:pPr>
        <w:pStyle w:val="제목2"/>
        <w:keepNext/>
      </w:pPr>
      <w:r>
        <w:rPr>
          <w:rFonts w:ascii="NanumSquare" w:hAnsi="NanumSquare" w:eastAsia="NanumSquare"/>
          <w:b/>
          <w:color w:val="2F5496"/>
          <w:sz w:val="24"/>
        </w:rPr>
        <w:t>2. 비밀유지의 한계와 사전 고지</w:t>
      </w:r>
    </w:p>
    <w:p>
      <w:pPr>
        <w:pStyle w:val="본문"/>
        <w:spacing w:after="140"/>
        <w:ind w:firstLine="210"/>
      </w:pPr>
      <w:r>
        <w:rPr>
          <w:rFonts w:ascii="NanumGothic" w:hAnsi="NanumGothic" w:eastAsia="NanumGothic"/>
          <w:b w:val="0"/>
          <w:sz w:val="21"/>
        </w:rPr>
        <w:t>임상심리사는 상담을 시작할 때 비밀유지의 범위와 예외를 이해하기 쉬운 언어로 설명하고 동의를 받아야 한다. 예를 들어 자살이나 타해 위험이 매우 높아 즉각적인 보호조치가 필요한 경우, 아동학대 등 법률상 신고의무가 있는 경우, 법원의 적법한 명령이 있는 경우, 다학제 치료팀과 필요한 정보를 공유하는 경우에는 제한적으로 정보가 공개될 수 있음을 미리 안내해야 한다. 이러한 사전 고지는 위기 상황에서 갑작스럽게 비밀유지를 깨뜨리는 것이 아니라, 내담자가 전문서비스의 조건을 알고 선택하도록 보장하는 과정이다.</w:t>
      </w:r>
    </w:p>
    <w:p>
      <w:pPr>
        <w:pStyle w:val="본문"/>
        <w:spacing w:after="140"/>
        <w:ind w:firstLine="210"/>
      </w:pPr>
      <w:r>
        <w:rPr>
          <w:rFonts w:ascii="NanumGothic" w:hAnsi="NanumGothic" w:eastAsia="NanumGothic"/>
          <w:b w:val="0"/>
          <w:sz w:val="21"/>
        </w:rPr>
        <w:t>중요한 원칙은 예외가 발생하더라도 공개 범위를 목적 달성에 필요한 최소 수준으로 제한하는 것이다. 위험한 상황을 막는 데 필요한 정보와 내담자의 사생활 전부를 공개하는 것은 동일하지 않다. 공개 대상 역시 보호자, 응급의료기관, 경찰, 아동보호기관 등 실제로 개입 권한과 역할을 가진 사람으로 한정해야 한다. 또한 가능한 경우 내담자에게 공개 필요성과 범위를 먼저 설명하고, 자발적인 동의를 얻거나 공개 과정에 참여시키는 것이 바람직하다.</w:t>
      </w:r>
    </w:p>
    <w:p>
      <w:pPr>
        <w:pStyle w:val="제목1"/>
        <w:pBdr>
          <w:bottom w:val="single" w:sz="8" w:space="5" w:color="8EA9DB"/>
        </w:pBdr>
        <w:keepNext/>
      </w:pPr>
      <w:r>
        <w:rPr>
          <w:rFonts w:ascii="NanumSquare" w:hAnsi="NanumSquare" w:eastAsia="NanumSquare"/>
          <w:b/>
          <w:color w:val="1F4E79"/>
          <w:sz w:val="30"/>
        </w:rPr>
        <w:t>Ⅲ. 비밀유지 관련 사례와 적절한 대처</w:t>
      </w:r>
    </w:p>
    <w:p>
      <w:pPr>
        <w:pStyle w:val="제목2"/>
        <w:keepNext/>
      </w:pPr>
      <w:r>
        <w:rPr>
          <w:rFonts w:ascii="NanumSquare" w:hAnsi="NanumSquare" w:eastAsia="NanumSquare"/>
          <w:b/>
          <w:color w:val="2F5496"/>
          <w:sz w:val="24"/>
        </w:rPr>
        <w:t>1. 사례 1: 자·타해 위험이 있는 성인 내담자</w:t>
      </w:r>
    </w:p>
    <w:tbl>
      <w:tblPr>
        <w:tblW w:type="auto" w:w="0"/>
        <w:jc w:val="center"/>
        <w:tblLayout w:type="fixed"/>
        <w:tblLook w:firstColumn="1" w:firstRow="1" w:lastColumn="0" w:lastRow="0" w:noHBand="0" w:noVBand="1" w:val="04A0"/>
      </w:tblPr>
      <w:tblGrid>
        <w:gridCol w:w="8787"/>
      </w:tblGrid>
      <w:tr>
        <w:trPr>
          <w:cantSplit/>
        </w:trPr>
        <w:tc>
          <w:tcPr>
            <w:tcW w:type="dxa" w:w="9648"/>
            <w:tcMar>
              <w:top w:w="120" w:type="dxa"/>
              <w:start w:w="160" w:type="dxa"/>
              <w:bottom w:w="120" w:type="dxa"/>
              <w:end w:w="160" w:type="dxa"/>
            </w:tcMar>
            <w:vAlign w:val="center"/>
            <w:shd w:fill="D9EAF7"/>
          </w:tcPr>
          <w:p>
            <w:pPr>
              <w:jc w:val="left"/>
            </w:pPr>
            <w:r>
              <w:rPr>
                <w:rFonts w:ascii="NanumSquare" w:hAnsi="NanumSquare" w:eastAsia="NanumSquare"/>
                <w:b/>
                <w:color w:val="1F4E79"/>
                <w:sz w:val="22"/>
              </w:rPr>
              <w:t>사례 A | 구체적인 자살 계획과 타해 언급</w:t>
            </w:r>
          </w:p>
        </w:tc>
      </w:tr>
      <w:tr>
        <w:trPr>
          <w:cantSplit/>
        </w:trPr>
        <w:tc>
          <w:tcPr>
            <w:tcW w:type="dxa" w:w="9648"/>
            <w:tcMar>
              <w:top w:w="120" w:type="dxa"/>
              <w:start w:w="160" w:type="dxa"/>
              <w:bottom w:w="120" w:type="dxa"/>
              <w:end w:w="160" w:type="dxa"/>
            </w:tcMar>
            <w:vAlign w:val="center"/>
          </w:tcPr>
          <w:p>
            <w:r>
              <w:rPr>
                <w:rFonts w:ascii="NanumGothic" w:hAnsi="NanumGothic" w:eastAsia="NanumGothic"/>
                <w:b/>
                <w:color w:val="2F5496"/>
                <w:sz w:val="20"/>
              </w:rPr>
              <w:t xml:space="preserve">사례 상황  </w:t>
            </w:r>
            <w:r>
              <w:rPr>
                <w:rFonts w:ascii="NanumGothic" w:hAnsi="NanumGothic" w:eastAsia="NanumGothic"/>
                <w:b w:val="0"/>
                <w:sz w:val="20"/>
              </w:rPr>
              <w:t>30대 직장인 A는 우울과 불면으로 상담을 받던 중 “오늘 밤 수면제를 모두 먹고 죽겠다”고 말한다. 그는 약물을 이미 준비했다고 진술하고, 자신을 해고한 상사에게도 “마지막으로 대가를 치르게 하겠다”고 말한다. A는 상담자가 가족이나 경찰에게 알리면 다시는 상담하지 않겠다고 강하게 요구한다.</w:t>
            </w:r>
          </w:p>
        </w:tc>
      </w:tr>
      <w:tr>
        <w:trPr>
          <w:cantSplit/>
        </w:trPr>
        <w:tc>
          <w:tcPr>
            <w:tcW w:type="dxa" w:w="9648"/>
            <w:tcMar>
              <w:top w:w="120" w:type="dxa"/>
              <w:start w:w="160" w:type="dxa"/>
              <w:bottom w:w="120" w:type="dxa"/>
              <w:end w:w="160" w:type="dxa"/>
            </w:tcMar>
            <w:vAlign w:val="center"/>
          </w:tcPr>
          <w:p>
            <w:r>
              <w:rPr>
                <w:rFonts w:ascii="NanumGothic" w:hAnsi="NanumGothic" w:eastAsia="NanumGothic"/>
                <w:b/>
                <w:color w:val="C0504D"/>
                <w:sz w:val="20"/>
              </w:rPr>
              <w:t xml:space="preserve">윤리적 쟁점  </w:t>
            </w:r>
            <w:r>
              <w:rPr>
                <w:rFonts w:ascii="NanumGothic" w:hAnsi="NanumGothic" w:eastAsia="NanumGothic"/>
                <w:b w:val="0"/>
                <w:sz w:val="20"/>
              </w:rPr>
              <w:t>내담자의 자기결정권과 비밀유지 의무를 존중해야 하지만, 구체적인 계획·수단·시점이 확인되어 본인과 타인의 생명에 중대한 위험이 예상된다.</w:t>
            </w:r>
          </w:p>
        </w:tc>
      </w:tr>
    </w:tbl>
    <w:p>
      <w:pPr>
        <w:spacing w:after="0"/>
      </w:pPr>
    </w:p>
    <w:p>
      <w:pPr>
        <w:pStyle w:val="본문"/>
        <w:spacing w:after="140"/>
        <w:ind w:firstLine="210"/>
      </w:pPr>
      <w:r>
        <w:rPr>
          <w:rFonts w:ascii="NanumGothic" w:hAnsi="NanumGothic" w:eastAsia="NanumGothic"/>
          <w:b w:val="0"/>
          <w:sz w:val="21"/>
        </w:rPr>
        <w:t>이 사례에서는 비밀을 그대로 유지하는 것보다 생명과 안전을 보호하는 책임이 우선될 수 있다. 다만 내담자의 위협적 표현만으로 즉시 모든 정보를 외부에 알리는 것이 아니라, 먼저 체계적인 위험평가를 실시해야 한다. 자살 위험의 경우 사고의 빈도와 강도, 구체적 계획, 사용 가능한 수단, 실행 시점, 과거 시도, 음주나 약물 사용, 보호요인, 협조 가능성을 확인한다. 타해 위험은 대상의 특정성, 의도, 수단 접근성, 행동 준비, 충동조절 상태 등을 평가한다. 평가 결과를 근거로 위험 수준을 낮음·중간·높음 또는 임박한 위험으로 구분하고, 판단 근거를 기록해야 한다.</w:t>
      </w:r>
    </w:p>
    <w:p>
      <w:pPr>
        <w:pStyle w:val="본문"/>
        <w:spacing w:after="140"/>
        <w:ind w:firstLine="210"/>
      </w:pPr>
      <w:r>
        <w:rPr>
          <w:rFonts w:ascii="NanumGothic" w:hAnsi="NanumGothic" w:eastAsia="NanumGothic"/>
          <w:b w:val="0"/>
          <w:sz w:val="21"/>
        </w:rPr>
        <w:t>위험이 높거나 임박한 것으로 판단되면 상담자는 A에게 비밀유지의 한계가 적용되는 이유를 설명하고, 가능한 범위에서 보호조치에 동참하도록 요청해야 한다. 예를 들어 가족이나 신뢰할 수 있는 보호자에게 함께 연락하고, 약물과 위험물에 대한 접근을 차단하며, 응급실 또는 정신건강의학과 진료를 받도록 설득할 수 있다. A가 협조하지 않고 즉각적인 위험이 지속된다면 112 또는 119, 응급의료기관 등 실제로 안전을 확보할 수 있는 기관에 필요한 정보를 제공할 수 있다. 한국임상심리학회 윤리규정 제18조 제3항은 내담자·심리학자 또는 다른 사람을 상해로부터 보호하기 위한 경우 법률이 허용하는 범위에서 동의 없이 최소한의 비밀정보를 공개할 수 있도록 한다(한국임상심리학회, 2025).</w:t>
      </w:r>
    </w:p>
    <w:p>
      <w:pPr>
        <w:pStyle w:val="본문"/>
        <w:spacing w:after="140"/>
        <w:ind w:firstLine="210"/>
      </w:pPr>
      <w:r>
        <w:rPr>
          <w:rFonts w:ascii="NanumGothic" w:hAnsi="NanumGothic" w:eastAsia="NanumGothic"/>
          <w:b w:val="0"/>
          <w:sz w:val="21"/>
        </w:rPr>
        <w:t>이때 공개 내용은 “A가 현재 자살 계획을 가지고 있으며 수면제를 확보했고, 특정 인물에 대한 위해 의사를 표현했다”는 등 긴급 대응에 필요한 사실로 제한한다. 성장 배경, 가족 갈등, 과거의 사적인 경험처럼 안전조치와 직접 관련이 없는 정보는 제공하지 않는다. 특정 타인이 위험 대상이라면 기관의 지침과 관련 법률을 검토하고, 감독자·법률자문·윤리위원회에 즉시 자문을 구해 보호조치의 범위와 방법을 결정하는 것이 적절하다. 이후 연락한 대상, 전달한 정보, 위험평가 결과, 내담자에게 설명한 내용, 응급개입 결과를 상세히 기록하고 치료 연속성을 확보해야 한다.</w:t>
      </w:r>
    </w:p>
    <w:p>
      <w:pPr>
        <w:pStyle w:val="제목2"/>
        <w:keepNext/>
      </w:pPr>
      <w:r>
        <w:rPr>
          <w:rFonts w:ascii="NanumSquare" w:hAnsi="NanumSquare" w:eastAsia="NanumSquare"/>
          <w:b/>
          <w:color w:val="2F5496"/>
          <w:sz w:val="24"/>
        </w:rPr>
        <w:t>2. 사례 2: 아동학대가 의심되는 미성년 내담자</w:t>
      </w:r>
    </w:p>
    <w:tbl>
      <w:tblPr>
        <w:tblW w:type="auto" w:w="0"/>
        <w:jc w:val="center"/>
        <w:tblLayout w:type="fixed"/>
        <w:tblLook w:firstColumn="1" w:firstRow="1" w:lastColumn="0" w:lastRow="0" w:noHBand="0" w:noVBand="1" w:val="04A0"/>
      </w:tblPr>
      <w:tblGrid>
        <w:gridCol w:w="8787"/>
      </w:tblGrid>
      <w:tr>
        <w:trPr>
          <w:cantSplit/>
        </w:trPr>
        <w:tc>
          <w:tcPr>
            <w:tcW w:type="dxa" w:w="9648"/>
            <w:tcMar>
              <w:top w:w="120" w:type="dxa"/>
              <w:start w:w="160" w:type="dxa"/>
              <w:bottom w:w="120" w:type="dxa"/>
              <w:end w:w="160" w:type="dxa"/>
            </w:tcMar>
            <w:vAlign w:val="center"/>
            <w:shd w:fill="D9EAF7"/>
          </w:tcPr>
          <w:p>
            <w:pPr>
              <w:jc w:val="left"/>
            </w:pPr>
            <w:r>
              <w:rPr>
                <w:rFonts w:ascii="NanumSquare" w:hAnsi="NanumSquare" w:eastAsia="NanumSquare"/>
                <w:b/>
                <w:color w:val="1F4E79"/>
                <w:sz w:val="22"/>
              </w:rPr>
              <w:t>사례 B | 보호자의 폭력 사실을 비밀로 해 달라는 아동</w:t>
            </w:r>
          </w:p>
        </w:tc>
      </w:tr>
      <w:tr>
        <w:trPr>
          <w:cantSplit/>
        </w:trPr>
        <w:tc>
          <w:tcPr>
            <w:tcW w:type="dxa" w:w="9648"/>
            <w:tcMar>
              <w:top w:w="120" w:type="dxa"/>
              <w:start w:w="160" w:type="dxa"/>
              <w:bottom w:w="120" w:type="dxa"/>
              <w:end w:w="160" w:type="dxa"/>
            </w:tcMar>
            <w:vAlign w:val="center"/>
          </w:tcPr>
          <w:p>
            <w:r>
              <w:rPr>
                <w:rFonts w:ascii="NanumGothic" w:hAnsi="NanumGothic" w:eastAsia="NanumGothic"/>
                <w:b/>
                <w:color w:val="2F5496"/>
                <w:sz w:val="20"/>
              </w:rPr>
              <w:t xml:space="preserve">사례 상황  </w:t>
            </w:r>
            <w:r>
              <w:rPr>
                <w:rFonts w:ascii="NanumGothic" w:hAnsi="NanumGothic" w:eastAsia="NanumGothic"/>
                <w:b w:val="0"/>
                <w:sz w:val="20"/>
              </w:rPr>
              <w:t>중학생 B는 불안과 등교 거부로 상담을 받던 중 보호자가 반복적으로 때리고 며칠 전에는 물건을 던져 팔에 상처가 났다고 말한다. B는 신고되면 집에서 더 심하게 혼날 것이라며 “절대로 아무에게도 말하지 말아 달라”고 요청한다.</w:t>
            </w:r>
          </w:p>
        </w:tc>
      </w:tr>
      <w:tr>
        <w:trPr>
          <w:cantSplit/>
        </w:trPr>
        <w:tc>
          <w:tcPr>
            <w:tcW w:type="dxa" w:w="9648"/>
            <w:tcMar>
              <w:top w:w="120" w:type="dxa"/>
              <w:start w:w="160" w:type="dxa"/>
              <w:bottom w:w="120" w:type="dxa"/>
              <w:end w:w="160" w:type="dxa"/>
            </w:tcMar>
            <w:vAlign w:val="center"/>
          </w:tcPr>
          <w:p>
            <w:r>
              <w:rPr>
                <w:rFonts w:ascii="NanumGothic" w:hAnsi="NanumGothic" w:eastAsia="NanumGothic"/>
                <w:b/>
                <w:color w:val="C0504D"/>
                <w:sz w:val="20"/>
              </w:rPr>
              <w:t xml:space="preserve">윤리적 쟁점  </w:t>
            </w:r>
            <w:r>
              <w:rPr>
                <w:rFonts w:ascii="NanumGothic" w:hAnsi="NanumGothic" w:eastAsia="NanumGothic"/>
                <w:b w:val="0"/>
                <w:sz w:val="20"/>
              </w:rPr>
              <w:t>미성년 내담자의 신뢰와 의사를 존중해야 하지만, 아동의 안전을 위협하는 학대가 의심되고 상담자가 신고의무자 범주에 해당할 수 있다.</w:t>
            </w:r>
          </w:p>
        </w:tc>
      </w:tr>
    </w:tbl>
    <w:p>
      <w:pPr>
        <w:spacing w:after="0"/>
      </w:pPr>
    </w:p>
    <w:p>
      <w:pPr>
        <w:pStyle w:val="본문"/>
        <w:spacing w:after="140"/>
        <w:ind w:firstLine="210"/>
      </w:pPr>
      <w:r>
        <w:rPr>
          <w:rFonts w:ascii="NanumGothic" w:hAnsi="NanumGothic" w:eastAsia="NanumGothic"/>
          <w:b w:val="0"/>
          <w:sz w:val="21"/>
        </w:rPr>
        <w:t>아동학대가 의심되는 상황에서는 상담자가 사실을 완전히 입증한 뒤 신고해야 하는 것이 아니라, 직무 수행 중 학대범죄를 알게 되었거나 의심이 있는 경우 법률이 정한 절차에 따라 즉시 신고해야 할 수 있다. 아동학대처벌법 제10조는 정신건강복지센터, 정신의료기관, 정신요양시설 및 정신재활시설의 장과 종사자 등을 신고의무자로 규정하고 있다(국가법령정보센터, 2026a). 따라서 해당 기관에서 근무하는 임상심리사는 비밀유지를 이유로 신고를 미루거나 보호자에게 먼저 확인하는 방식으로 아동의 위험을 키워서는 안 된다.</w:t>
      </w:r>
    </w:p>
    <w:p>
      <w:pPr>
        <w:pStyle w:val="본문"/>
        <w:spacing w:after="140"/>
        <w:ind w:firstLine="210"/>
      </w:pPr>
      <w:r>
        <w:rPr>
          <w:rFonts w:ascii="NanumGothic" w:hAnsi="NanumGothic" w:eastAsia="NanumGothic"/>
          <w:b w:val="0"/>
          <w:sz w:val="21"/>
        </w:rPr>
        <w:t>적절한 대처는 먼저 B의 현재 안전상태와 긴급성을 확인하는 것이다. 상처의 정도, 최근 폭력의 빈도와 강도, 가해자와 함께 귀가해야 하는지, 즉시 위험한 상황이 예상되는지, 도움을 요청할 수 있는 성인이 있는지를 파악한다. 질문은 유도적이거나 반복적으로 이루어져서는 안 되며, 아동이 진술한 표현을 가능한 그대로 기록한다. 상담자는 B에게 “네가 잘못해서 신고하는 것이 아니라 안전을 지키기 위해 필요한 어른들에게 도움을 요청해야 한다”는 취지로 설명하고, 신고 과정에서 어떤 일이 일어날 수 있는지 발달 수준에 맞게 안내해야 한다.</w:t>
      </w:r>
    </w:p>
    <w:p>
      <w:pPr>
        <w:pStyle w:val="본문"/>
        <w:spacing w:after="140"/>
        <w:ind w:firstLine="210"/>
      </w:pPr>
      <w:r>
        <w:rPr>
          <w:rFonts w:ascii="NanumGothic" w:hAnsi="NanumGothic" w:eastAsia="NanumGothic"/>
          <w:b w:val="0"/>
          <w:sz w:val="21"/>
        </w:rPr>
        <w:t>신고 시에는 아동의 인적 사항, 학대 의심 내용, 현재 위치와 긴급 위험 등 조사와 보호에 필요한 정보만 제공한다. 신고 사실을 가해 의심 보호자에게 성급히 알리면 증거 인멸이나 보복 위험이 증가할 수 있으므로, 관계 기관의 안내와 기관 내 아동보호 절차를 따라야 한다. 신고 후에도 상담자는 아동이 느낄 수 있는 배신감과 불안을 다루고, 안전계획과 정서적 지지를 제공해야 한다. 즉, 신고는 치료관계의 종료가 아니라 아동의 안전을 확보하면서 관계를 회복하고 치료를 지속하기 위한 개입으로 이해해야 한다.</w:t>
      </w:r>
    </w:p>
    <w:p>
      <w:r>
        <w:br w:type="page"/>
      </w:r>
    </w:p>
    <w:p>
      <w:pPr>
        <w:pStyle w:val="제목2"/>
        <w:keepNext/>
      </w:pPr>
      <w:r>
        <w:rPr>
          <w:rFonts w:ascii="NanumSquare" w:hAnsi="NanumSquare" w:eastAsia="NanumSquare"/>
          <w:b/>
          <w:color w:val="2F5496"/>
          <w:sz w:val="24"/>
        </w:rPr>
        <w:t>3. 사례 3: 기관이 심리평가 자료를 요구하는 경우</w:t>
      </w:r>
    </w:p>
    <w:tbl>
      <w:tblPr>
        <w:tblW w:type="auto" w:w="0"/>
        <w:jc w:val="center"/>
        <w:tblLayout w:type="fixed"/>
        <w:tblLook w:firstColumn="1" w:firstRow="1" w:lastColumn="0" w:lastRow="0" w:noHBand="0" w:noVBand="1" w:val="04A0"/>
      </w:tblPr>
      <w:tblGrid>
        <w:gridCol w:w="8787"/>
      </w:tblGrid>
      <w:tr>
        <w:trPr>
          <w:cantSplit/>
        </w:trPr>
        <w:tc>
          <w:tcPr>
            <w:tcW w:type="dxa" w:w="9648"/>
            <w:tcMar>
              <w:top w:w="120" w:type="dxa"/>
              <w:start w:w="160" w:type="dxa"/>
              <w:bottom w:w="120" w:type="dxa"/>
              <w:end w:w="160" w:type="dxa"/>
            </w:tcMar>
            <w:vAlign w:val="center"/>
            <w:shd w:fill="D9EAF7"/>
          </w:tcPr>
          <w:p>
            <w:pPr>
              <w:jc w:val="left"/>
            </w:pPr>
            <w:r>
              <w:rPr>
                <w:rFonts w:ascii="NanumSquare" w:hAnsi="NanumSquare" w:eastAsia="NanumSquare"/>
                <w:b/>
                <w:color w:val="1F4E79"/>
                <w:sz w:val="22"/>
              </w:rPr>
              <w:t>사례 C | 회사가 직원의 전체 심리검사 결과를 요구</w:t>
            </w:r>
          </w:p>
        </w:tc>
      </w:tr>
      <w:tr>
        <w:trPr>
          <w:cantSplit/>
        </w:trPr>
        <w:tc>
          <w:tcPr>
            <w:tcW w:type="dxa" w:w="9648"/>
            <w:tcMar>
              <w:top w:w="120" w:type="dxa"/>
              <w:start w:w="160" w:type="dxa"/>
              <w:bottom w:w="120" w:type="dxa"/>
              <w:end w:w="160" w:type="dxa"/>
            </w:tcMar>
            <w:vAlign w:val="center"/>
          </w:tcPr>
          <w:p>
            <w:r>
              <w:rPr>
                <w:rFonts w:ascii="NanumGothic" w:hAnsi="NanumGothic" w:eastAsia="NanumGothic"/>
                <w:b/>
                <w:color w:val="2F5496"/>
                <w:sz w:val="20"/>
              </w:rPr>
              <w:t xml:space="preserve">사례 상황  </w:t>
            </w:r>
            <w:r>
              <w:rPr>
                <w:rFonts w:ascii="NanumGothic" w:hAnsi="NanumGothic" w:eastAsia="NanumGothic"/>
                <w:b w:val="0"/>
                <w:sz w:val="20"/>
              </w:rPr>
              <w:t>기업 상담실에서 직원 C가 번아웃과 공황 증상으로 심리검사를 받았다. 인사팀장은 상담 비용을 회사가 부담했다는 이유로 C의 진단명, 원점수, 가족사, 상담 내용이 포함된 전체 보고서를 제출하라고 요구한다. C는 상담 이용 사실이 인사평가에 영향을 줄까 두려워 공개에 동의하지 않는다.</w:t>
            </w:r>
          </w:p>
        </w:tc>
      </w:tr>
      <w:tr>
        <w:trPr>
          <w:cantSplit/>
        </w:trPr>
        <w:tc>
          <w:tcPr>
            <w:tcW w:type="dxa" w:w="9648"/>
            <w:tcMar>
              <w:top w:w="120" w:type="dxa"/>
              <w:start w:w="160" w:type="dxa"/>
              <w:bottom w:w="120" w:type="dxa"/>
              <w:end w:w="160" w:type="dxa"/>
            </w:tcMar>
            <w:vAlign w:val="center"/>
          </w:tcPr>
          <w:p>
            <w:r>
              <w:rPr>
                <w:rFonts w:ascii="NanumGothic" w:hAnsi="NanumGothic" w:eastAsia="NanumGothic"/>
                <w:b/>
                <w:color w:val="C0504D"/>
                <w:sz w:val="20"/>
              </w:rPr>
              <w:t xml:space="preserve">윤리적 쟁점  </w:t>
            </w:r>
            <w:r>
              <w:rPr>
                <w:rFonts w:ascii="NanumGothic" w:hAnsi="NanumGothic" w:eastAsia="NanumGothic"/>
                <w:b w:val="0"/>
                <w:sz w:val="20"/>
              </w:rPr>
              <w:t>서비스 비용을 지급한 조직의 요구와 실제 내담자인 직원의 비밀유지권이 충돌한다. 조직이 비용을 지불했다는 사실만으로 전체 임상정보에 접근할 권리가 자동으로 발생하는 것은 아니다.</w:t>
            </w:r>
          </w:p>
        </w:tc>
      </w:tr>
    </w:tbl>
    <w:p>
      <w:pPr>
        <w:spacing w:after="0"/>
      </w:pPr>
    </w:p>
    <w:p>
      <w:pPr>
        <w:pStyle w:val="본문"/>
        <w:spacing w:after="140"/>
        <w:ind w:firstLine="210"/>
      </w:pPr>
      <w:r>
        <w:rPr>
          <w:rFonts w:ascii="NanumGothic" w:hAnsi="NanumGothic" w:eastAsia="NanumGothic"/>
          <w:b w:val="0"/>
          <w:sz w:val="21"/>
        </w:rPr>
        <w:t>조직을 통해 제공되는 심리서비스에서는 계약 단계에서 누가 내담자인지, 어떤 정보가 누구에게 보고되는지, 결과의 사용 목적과 비밀유지 한계를 명확히 해야 한다. 이 사례에서 C가 개인 내담자이고 사전에 전체 자료 제공에 동의하지 않았다면, 인사팀의 요구만으로 진단명이나 상담 내용을 공개해서는 안 된다. 상담자는 인사팀에 윤리규정과 사전 계약 내용을 설명하고, 업무 적합성이나 필요한 편의조치처럼 목적에 직접 관련된 최소한의 정보만 C의 명시적 동의 아래 제공하는 방안을 제안해야 한다.</w:t>
      </w:r>
    </w:p>
    <w:p>
      <w:pPr>
        <w:pStyle w:val="본문"/>
        <w:spacing w:after="140"/>
        <w:ind w:firstLine="210"/>
      </w:pPr>
      <w:r>
        <w:rPr>
          <w:rFonts w:ascii="NanumGothic" w:hAnsi="NanumGothic" w:eastAsia="NanumGothic"/>
          <w:b w:val="0"/>
          <w:sz w:val="21"/>
        </w:rPr>
        <w:t>동의는 포괄적이거나 강압적이어서는 안 된다. C에게 공개할 정보의 항목, 수신자, 목적, 보관기간, 재전달 가능성, 동의 철회 가능성을 설명한 뒤 서면 동의를 받아야 한다. C가 동의하지 않는다면 원칙적으로 개인 식별이 가능한 임상정보를 제공하지 않고, 필요하다면 익명화된 전체 이용 통계나 조직 차원의 권고만 전달한다. 사례회의나 자문을 받을 때도 이름, 부서, 희귀한 사건 등 개인을 유추할 수 있는 요소를 제거하고, 상담 목적 달성에 필요한 범위만 공유한다.</w:t>
      </w:r>
    </w:p>
    <w:p>
      <w:pPr>
        <w:pStyle w:val="본문"/>
        <w:spacing w:after="140"/>
        <w:ind w:firstLine="210"/>
      </w:pPr>
      <w:r>
        <w:rPr>
          <w:rFonts w:ascii="NanumGothic" w:hAnsi="NanumGothic" w:eastAsia="NanumGothic"/>
          <w:b w:val="0"/>
          <w:sz w:val="21"/>
        </w:rPr>
        <w:t>전자문서 관리도 중요한 대처 영역이다. 전체 심리검사 자료를 일반 이메일이나 메신저로 전송하지 않고, 접근권한이 제한된 시스템과 암호화된 파일을 사용해야 한다. 인쇄된 보고서는 잠금장치가 있는 장소에 보관하며, 폐기 시에는 복구가 불가능한 방식으로 파쇄하거나 삭제한다. 한국임상심리학회 윤리규정은 기록의 보관 주체·기간·방법과 자료 보안에 관한 규정을 마련하도록 요구하며, 정신건강 관련 직무에서 알게 된 비밀을 누설하거나 공표하지 못하도록 하는 법률 규정도 존재한다(한국임상심리학회, 2025; 국가법령정보센터, 2026b).</w:t>
      </w:r>
    </w:p>
    <w:p>
      <w:pPr>
        <w:pStyle w:val="제목1"/>
        <w:pBdr>
          <w:bottom w:val="single" w:sz="8" w:space="5" w:color="8EA9DB"/>
        </w:pBdr>
        <w:keepNext/>
      </w:pPr>
      <w:r>
        <w:rPr>
          <w:rFonts w:ascii="NanumSquare" w:hAnsi="NanumSquare" w:eastAsia="NanumSquare"/>
          <w:b/>
          <w:color w:val="1F4E79"/>
          <w:sz w:val="30"/>
        </w:rPr>
        <w:t>Ⅳ. 실무적 윤리 의사결정 절차</w:t>
      </w:r>
    </w:p>
    <w:p>
      <w:pPr>
        <w:pStyle w:val="본문"/>
        <w:spacing w:after="140"/>
        <w:ind w:firstLine="210"/>
      </w:pPr>
      <w:r>
        <w:rPr>
          <w:rFonts w:ascii="NanumGothic" w:hAnsi="NanumGothic" w:eastAsia="NanumGothic"/>
          <w:b w:val="0"/>
          <w:sz w:val="21"/>
        </w:rPr>
        <w:t>비밀유지와 안전보호가 충돌하는 사례에서는 직관이나 개인적 선의에만 의존해서는 안 된다. 동일한 상황에서도 위험의 임박성, 내담자의 연령과 의사결정 능력, 근무기관, 적용 법률, 사전 계약 내용에 따라 적절한 대응이 달라질 수 있기 때문이다. 다음 절차는 비밀정보 공개 여부를 판단할 때 활용할 수 있는 기본 틀이다.</w:t>
      </w:r>
    </w:p>
    <w:tbl>
      <w:tblPr>
        <w:tblW w:type="auto" w:w="0"/>
        <w:jc w:val="center"/>
        <w:tblLayout w:type="fixed"/>
        <w:tblLook w:firstColumn="1" w:firstRow="1" w:lastColumn="0" w:lastRow="0" w:noHBand="0" w:noVBand="1" w:val="04A0"/>
      </w:tblPr>
      <w:tblGrid>
        <w:gridCol w:w="2381"/>
        <w:gridCol w:w="6236"/>
      </w:tblGrid>
      <w:tr>
        <w:trPr>
          <w:tblHeader w:val="true"/>
          <w:cantSplit/>
        </w:trPr>
        <w:tc>
          <w:tcPr>
            <w:tcW w:type="dxa" w:w="4824"/>
            <w:shd w:fill="4472C4"/>
            <w:tcMar>
              <w:top w:w="100" w:type="dxa"/>
              <w:start w:w="120" w:type="dxa"/>
              <w:bottom w:w="100" w:type="dxa"/>
              <w:end w:w="120" w:type="dxa"/>
            </w:tcMar>
          </w:tcPr>
          <w:p>
            <w:pPr>
              <w:jc w:val="center"/>
            </w:pPr>
            <w:r>
              <w:rPr>
                <w:rFonts w:ascii="NanumGothic" w:hAnsi="NanumGothic" w:eastAsia="NanumGothic"/>
                <w:b/>
                <w:color w:val="FFFFFF"/>
                <w:sz w:val="20"/>
              </w:rPr>
              <w:t>의사결정 단계</w:t>
            </w:r>
          </w:p>
        </w:tc>
        <w:tc>
          <w:tcPr>
            <w:tcW w:type="dxa" w:w="4824"/>
            <w:shd w:fill="4472C4"/>
            <w:tcMar>
              <w:top w:w="100" w:type="dxa"/>
              <w:start w:w="120" w:type="dxa"/>
              <w:bottom w:w="100" w:type="dxa"/>
              <w:end w:w="120" w:type="dxa"/>
            </w:tcMar>
          </w:tcPr>
          <w:p>
            <w:pPr>
              <w:jc w:val="center"/>
            </w:pPr>
            <w:r>
              <w:rPr>
                <w:rFonts w:ascii="NanumGothic" w:hAnsi="NanumGothic" w:eastAsia="NanumGothic"/>
                <w:b/>
                <w:color w:val="FFFFFF"/>
                <w:sz w:val="20"/>
              </w:rPr>
              <w:t>핵심 내용</w:t>
            </w:r>
          </w:p>
        </w:tc>
      </w:tr>
      <w:tr>
        <w:trPr>
          <w:cantSplit/>
        </w:trPr>
        <w:tc>
          <w:tcPr>
            <w:tcW w:type="dxa" w:w="2381"/>
            <w:tcMar>
              <w:top w:w="85" w:type="dxa"/>
              <w:start w:w="110" w:type="dxa"/>
              <w:bottom w:w="85" w:type="dxa"/>
              <w:end w:w="110" w:type="dxa"/>
            </w:tcMar>
            <w:vAlign w:val="center"/>
          </w:tcPr>
          <w:p>
            <w:r>
              <w:rPr>
                <w:rFonts w:ascii="NanumGothic" w:hAnsi="NanumGothic" w:eastAsia="NanumGothic"/>
                <w:b/>
                <w:color w:val="1F4E79"/>
                <w:sz w:val="19"/>
              </w:rPr>
              <w:t>1단계: 사실과 위험의 구체화</w:t>
            </w:r>
          </w:p>
        </w:tc>
        <w:tc>
          <w:tcPr>
            <w:tcW w:type="dxa" w:w="6236"/>
            <w:tcMar>
              <w:top w:w="85" w:type="dxa"/>
              <w:start w:w="110" w:type="dxa"/>
              <w:bottom w:w="85" w:type="dxa"/>
              <w:end w:w="110" w:type="dxa"/>
            </w:tcMar>
            <w:vAlign w:val="center"/>
          </w:tcPr>
          <w:p>
            <w:r>
              <w:rPr>
                <w:rFonts w:ascii="NanumGothic" w:hAnsi="NanumGothic" w:eastAsia="NanumGothic"/>
                <w:b w:val="0"/>
                <w:sz w:val="18"/>
              </w:rPr>
              <w:t>내담자가 실제로 무엇을 말했는지, 위험의 대상·계획·수단·시점·과거력·보호요인을 확인한다. 추측과 사실을 구분하고, 필요한 경우 표준화된 위험평가 도구를 보조적으로 사용한다.</w:t>
            </w:r>
          </w:p>
        </w:tc>
      </w:tr>
      <w:tr>
        <w:trPr>
          <w:cantSplit/>
        </w:trPr>
        <w:tc>
          <w:tcPr>
            <w:tcW w:type="dxa" w:w="2381"/>
            <w:tcMar>
              <w:top w:w="85" w:type="dxa"/>
              <w:start w:w="110" w:type="dxa"/>
              <w:bottom w:w="85" w:type="dxa"/>
              <w:end w:w="110" w:type="dxa"/>
            </w:tcMar>
            <w:vAlign w:val="center"/>
          </w:tcPr>
          <w:p>
            <w:r>
              <w:rPr>
                <w:rFonts w:ascii="NanumGothic" w:hAnsi="NanumGothic" w:eastAsia="NanumGothic"/>
                <w:b/>
                <w:color w:val="1F4E79"/>
                <w:sz w:val="19"/>
              </w:rPr>
              <w:t>2단계: 윤리규정·법률·기관지침 확인</w:t>
            </w:r>
          </w:p>
        </w:tc>
        <w:tc>
          <w:tcPr>
            <w:tcW w:type="dxa" w:w="6236"/>
            <w:tcMar>
              <w:top w:w="85" w:type="dxa"/>
              <w:start w:w="110" w:type="dxa"/>
              <w:bottom w:w="85" w:type="dxa"/>
              <w:end w:w="110" w:type="dxa"/>
            </w:tcMar>
            <w:vAlign w:val="center"/>
          </w:tcPr>
          <w:p>
            <w:r>
              <w:rPr>
                <w:rFonts w:ascii="NanumGothic" w:hAnsi="NanumGothic" w:eastAsia="NanumGothic"/>
                <w:b w:val="0"/>
                <w:sz w:val="18"/>
              </w:rPr>
              <w:t>비밀유지 원칙, 신고의무, 법원 명령, 응급개입 규정, 기관의 보고 체계를 확인한다. 현행법과 윤리규정이 충돌하면 법률을 준수하되, 법률보다 엄격한 윤리적 보호가 가능한 부분은 윤리규정을 따른다.</w:t>
            </w:r>
          </w:p>
        </w:tc>
      </w:tr>
      <w:tr>
        <w:trPr>
          <w:cantSplit/>
        </w:trPr>
        <w:tc>
          <w:tcPr>
            <w:tcW w:type="dxa" w:w="2381"/>
            <w:tcMar>
              <w:top w:w="85" w:type="dxa"/>
              <w:start w:w="110" w:type="dxa"/>
              <w:bottom w:w="85" w:type="dxa"/>
              <w:end w:w="110" w:type="dxa"/>
            </w:tcMar>
            <w:vAlign w:val="center"/>
          </w:tcPr>
          <w:p>
            <w:r>
              <w:rPr>
                <w:rFonts w:ascii="NanumGothic" w:hAnsi="NanumGothic" w:eastAsia="NanumGothic"/>
                <w:b/>
                <w:color w:val="1F4E79"/>
                <w:sz w:val="19"/>
              </w:rPr>
              <w:t>3단계: 자문과 대안 검토</w:t>
            </w:r>
          </w:p>
        </w:tc>
        <w:tc>
          <w:tcPr>
            <w:tcW w:type="dxa" w:w="6236"/>
            <w:tcMar>
              <w:top w:w="85" w:type="dxa"/>
              <w:start w:w="110" w:type="dxa"/>
              <w:bottom w:w="85" w:type="dxa"/>
              <w:end w:w="110" w:type="dxa"/>
            </w:tcMar>
            <w:vAlign w:val="center"/>
          </w:tcPr>
          <w:p>
            <w:r>
              <w:rPr>
                <w:rFonts w:ascii="NanumGothic" w:hAnsi="NanumGothic" w:eastAsia="NanumGothic"/>
                <w:b w:val="0"/>
                <w:sz w:val="18"/>
              </w:rPr>
              <w:t>가능한 경우 감독자, 숙련된 동료, 기관 윤리위원회 또는 법률 전문가에게 자문한다. 내담자의 동의를 얻어 정보를 공유하는 방법, 비식별화된 자문, 안전계획, 보호자 동행 등 덜 침해적인 대안을 먼저 검토한다.</w:t>
            </w:r>
          </w:p>
        </w:tc>
      </w:tr>
      <w:tr>
        <w:trPr>
          <w:cantSplit/>
        </w:trPr>
        <w:tc>
          <w:tcPr>
            <w:tcW w:type="dxa" w:w="2381"/>
            <w:tcMar>
              <w:top w:w="85" w:type="dxa"/>
              <w:start w:w="110" w:type="dxa"/>
              <w:bottom w:w="85" w:type="dxa"/>
              <w:end w:w="110" w:type="dxa"/>
            </w:tcMar>
            <w:vAlign w:val="center"/>
          </w:tcPr>
          <w:p>
            <w:r>
              <w:rPr>
                <w:rFonts w:ascii="NanumGothic" w:hAnsi="NanumGothic" w:eastAsia="NanumGothic"/>
                <w:b/>
                <w:color w:val="1F4E79"/>
                <w:sz w:val="19"/>
              </w:rPr>
              <w:t>4단계: 최소 필요 공개</w:t>
            </w:r>
          </w:p>
        </w:tc>
        <w:tc>
          <w:tcPr>
            <w:tcW w:type="dxa" w:w="6236"/>
            <w:tcMar>
              <w:top w:w="85" w:type="dxa"/>
              <w:start w:w="110" w:type="dxa"/>
              <w:bottom w:w="85" w:type="dxa"/>
              <w:end w:w="110" w:type="dxa"/>
            </w:tcMar>
            <w:vAlign w:val="center"/>
          </w:tcPr>
          <w:p>
            <w:r>
              <w:rPr>
                <w:rFonts w:ascii="NanumGothic" w:hAnsi="NanumGothic" w:eastAsia="NanumGothic"/>
                <w:b w:val="0"/>
                <w:sz w:val="18"/>
              </w:rPr>
              <w:t>공개가 불가피하면 목적 달성에 필요한 정보만, 개입 권한이 있는 사람에게, 안전한 방식으로 전달한다. 호기심 충족이나 행정 편의를 위한 과도한 공개는 피한다.</w:t>
            </w:r>
          </w:p>
        </w:tc>
      </w:tr>
      <w:tr>
        <w:trPr>
          <w:cantSplit/>
        </w:trPr>
        <w:tc>
          <w:tcPr>
            <w:tcW w:type="dxa" w:w="2381"/>
            <w:tcMar>
              <w:top w:w="85" w:type="dxa"/>
              <w:start w:w="110" w:type="dxa"/>
              <w:bottom w:w="85" w:type="dxa"/>
              <w:end w:w="110" w:type="dxa"/>
            </w:tcMar>
            <w:vAlign w:val="center"/>
          </w:tcPr>
          <w:p>
            <w:r>
              <w:rPr>
                <w:rFonts w:ascii="NanumGothic" w:hAnsi="NanumGothic" w:eastAsia="NanumGothic"/>
                <w:b/>
                <w:color w:val="1F4E79"/>
                <w:sz w:val="19"/>
              </w:rPr>
              <w:t>5단계: 내담자 설명과 참여</w:t>
            </w:r>
          </w:p>
        </w:tc>
        <w:tc>
          <w:tcPr>
            <w:tcW w:type="dxa" w:w="6236"/>
            <w:tcMar>
              <w:top w:w="85" w:type="dxa"/>
              <w:start w:w="110" w:type="dxa"/>
              <w:bottom w:w="85" w:type="dxa"/>
              <w:end w:w="110" w:type="dxa"/>
            </w:tcMar>
            <w:vAlign w:val="center"/>
          </w:tcPr>
          <w:p>
            <w:r>
              <w:rPr>
                <w:rFonts w:ascii="NanumGothic" w:hAnsi="NanumGothic" w:eastAsia="NanumGothic"/>
                <w:b w:val="0"/>
                <w:sz w:val="18"/>
              </w:rPr>
              <w:t>가능하고 안전한 범위에서 공개 이유, 대상, 내용, 예상 절차를 내담자에게 알리고 함께 연락하도록 한다. 공개 이후 발생할 수 있는 불안과 관계 손상을 치료적으로 다룬다.</w:t>
            </w:r>
          </w:p>
        </w:tc>
      </w:tr>
      <w:tr>
        <w:trPr>
          <w:cantSplit/>
        </w:trPr>
        <w:tc>
          <w:tcPr>
            <w:tcW w:type="dxa" w:w="2381"/>
            <w:tcMar>
              <w:top w:w="85" w:type="dxa"/>
              <w:start w:w="110" w:type="dxa"/>
              <w:bottom w:w="85" w:type="dxa"/>
              <w:end w:w="110" w:type="dxa"/>
            </w:tcMar>
            <w:vAlign w:val="center"/>
          </w:tcPr>
          <w:p>
            <w:r>
              <w:rPr>
                <w:rFonts w:ascii="NanumGothic" w:hAnsi="NanumGothic" w:eastAsia="NanumGothic"/>
                <w:b/>
                <w:color w:val="1F4E79"/>
                <w:sz w:val="19"/>
              </w:rPr>
              <w:t>6단계: 기록과 사후 점검</w:t>
            </w:r>
          </w:p>
        </w:tc>
        <w:tc>
          <w:tcPr>
            <w:tcW w:type="dxa" w:w="6236"/>
            <w:tcMar>
              <w:top w:w="85" w:type="dxa"/>
              <w:start w:w="110" w:type="dxa"/>
              <w:bottom w:w="85" w:type="dxa"/>
              <w:end w:w="110" w:type="dxa"/>
            </w:tcMar>
            <w:vAlign w:val="center"/>
          </w:tcPr>
          <w:p>
            <w:r>
              <w:rPr>
                <w:rFonts w:ascii="NanumGothic" w:hAnsi="NanumGothic" w:eastAsia="NanumGothic"/>
                <w:b w:val="0"/>
                <w:sz w:val="18"/>
              </w:rPr>
              <w:t>위험평가, 참고한 규정, 자문 내용, 선택한 대안과 이유, 공개 범위, 연락 결과를 구체적으로 기록한다. 이후 안전 여부와 치료 연속성을 점검한다.</w:t>
            </w:r>
          </w:p>
        </w:tc>
      </w:tr>
    </w:tbl>
    <w:p>
      <w:pPr>
        <w:pStyle w:val="제목1"/>
        <w:pBdr>
          <w:bottom w:val="single" w:sz="8" w:space="5" w:color="8EA9DB"/>
        </w:pBdr>
        <w:keepNext/>
      </w:pPr>
      <w:r>
        <w:rPr>
          <w:rFonts w:ascii="NanumSquare" w:hAnsi="NanumSquare" w:eastAsia="NanumSquare"/>
          <w:b/>
          <w:color w:val="1F4E79"/>
          <w:sz w:val="30"/>
        </w:rPr>
        <w:t>Ⅴ. 결론</w:t>
      </w:r>
    </w:p>
    <w:p>
      <w:pPr>
        <w:pStyle w:val="본문"/>
        <w:spacing w:after="140"/>
        <w:ind w:firstLine="210"/>
      </w:pPr>
      <w:r>
        <w:rPr>
          <w:rFonts w:ascii="NanumGothic" w:hAnsi="NanumGothic" w:eastAsia="NanumGothic"/>
          <w:b w:val="0"/>
          <w:sz w:val="21"/>
        </w:rPr>
        <w:t>비밀유지는 임상심리사의 전문적 정체성과 치료적 신뢰를 형성하는 핵심 윤리 원칙이다. 내담자가 자신의 민감한 정보를 안전하게 말할 수 있어야 정확한 평가와 효과적인 치료가 가능하므로, 상담자는 상담 내용뿐 아니라 검사자료, 전자기록, 가족 정보, 상담 이용 사실까지 폭넓게 보호해야 한다. 또한 상담 시작 단계에서 비밀유지의 범위와 한계를 명확히 설명하여 내담자의 자기결정권을 보장해야 한다.</w:t>
      </w:r>
    </w:p>
    <w:p>
      <w:pPr>
        <w:pStyle w:val="본문"/>
        <w:spacing w:after="140"/>
        <w:ind w:firstLine="210"/>
      </w:pPr>
      <w:r>
        <w:rPr>
          <w:rFonts w:ascii="NanumGothic" w:hAnsi="NanumGothic" w:eastAsia="NanumGothic"/>
          <w:b w:val="0"/>
          <w:sz w:val="21"/>
        </w:rPr>
        <w:t>동시에 비밀유지는 생명과 안전, 법률상 신고의무와 충돌할 수 있다. 자·타해 위험이 임박한 사례에서는 체계적인 위험평가를 실시하고, 내담자의 참여를 최대한 확보하면서 필요한 보호기관에 최소한의 정보를 제공해야 한다. 아동학대가 의심되는 경우에는 신고의무와 아동의 안전을 우선하되, 아동에게 신고의 의미와 절차를 발달 수준에 맞게 설명하고 치료관계를 지속해야 한다. 조직이 심리검사 결과를 요구하는 상황에서는 비용 부담자와 실제 내담자를 구분하고, 사전 계약과 명시적 동의 없이 개인의 전체 임상정보를 제공하지 않아야 한다.</w:t>
      </w:r>
    </w:p>
    <w:p>
      <w:pPr>
        <w:pStyle w:val="본문"/>
        <w:spacing w:after="140"/>
        <w:ind w:firstLine="210"/>
      </w:pPr>
      <w:r>
        <w:rPr>
          <w:rFonts w:ascii="NanumGothic" w:hAnsi="NanumGothic" w:eastAsia="NanumGothic"/>
          <w:b w:val="0"/>
          <w:sz w:val="21"/>
        </w:rPr>
        <w:t>결국 적절한 대처의 핵심은 비밀유지를 쉽게 포기하는 것도, 위험을 외면한 채 기계적으로 지키는 것도 아니다. 사실과 위험을 구체적으로 평가하고, 윤리규정과 법률을 확인하며, 자문을 거쳐 가장 덜 침해적인 대안을 선택해야 한다. 공개가 불가피할 때에는 대상과 내용을 최소화하고, 판단 과정과 조치 결과를 충실히 기록해야 한다. 이러한 절차적 신중함은 내담자의 권리를 보호하는 동시에 임상심리사가 전문가로서 책임 있는 결정을 내리게 하는 기반이 된다.</w:t>
      </w:r>
    </w:p>
    <w:p>
      <w:pPr>
        <w:pStyle w:val="제목1"/>
        <w:pBdr>
          <w:bottom w:val="single" w:sz="8" w:space="5" w:color="8EA9DB"/>
        </w:pBdr>
        <w:keepNext/>
      </w:pPr>
      <w:r>
        <w:rPr>
          <w:rFonts w:ascii="NanumSquare" w:hAnsi="NanumSquare" w:eastAsia="NanumSquare"/>
          <w:b/>
          <w:color w:val="1F4E79"/>
          <w:sz w:val="30"/>
        </w:rPr>
        <w:t>참고문헌</w:t>
      </w:r>
    </w:p>
    <w:p>
      <w:pPr>
        <w:pStyle w:val="본문"/>
        <w:spacing w:line="348" w:lineRule="auto" w:after="100"/>
        <w:ind w:left="454" w:hanging="454"/>
      </w:pPr>
      <w:r>
        <w:rPr>
          <w:rFonts w:ascii="NanumGothic" w:hAnsi="NanumGothic" w:eastAsia="NanumGothic"/>
          <w:b w:val="0"/>
          <w:sz w:val="20"/>
        </w:rPr>
        <w:t>American Psychological Association. (2016). Revision of Ethics Code Standard 3.04 (Avoiding Harm).</w:t>
      </w:r>
    </w:p>
    <w:p>
      <w:pPr>
        <w:pStyle w:val="본문"/>
        <w:spacing w:line="348" w:lineRule="auto" w:after="100"/>
        <w:ind w:left="454" w:hanging="454"/>
      </w:pPr>
      <w:r>
        <w:rPr>
          <w:rFonts w:ascii="NanumGothic" w:hAnsi="NanumGothic" w:eastAsia="NanumGothic"/>
          <w:b w:val="0"/>
          <w:sz w:val="20"/>
        </w:rPr>
        <w:t>American Psychological Association. (2023). Record keeping guidelines.</w:t>
      </w:r>
    </w:p>
    <w:p>
      <w:pPr>
        <w:pStyle w:val="본문"/>
        <w:spacing w:line="348" w:lineRule="auto" w:after="100"/>
        <w:ind w:left="454" w:hanging="454"/>
      </w:pPr>
      <w:r>
        <w:rPr>
          <w:rFonts w:ascii="NanumGothic" w:hAnsi="NanumGothic" w:eastAsia="NanumGothic"/>
          <w:b w:val="0"/>
          <w:sz w:val="20"/>
        </w:rPr>
        <w:t>Behnke, S. (2005). Disclosing confidential information in consultations and for didactic purposes. Monitor on Psychology, 36(4), 76.</w:t>
      </w:r>
    </w:p>
    <w:p>
      <w:pPr>
        <w:pStyle w:val="본문"/>
        <w:spacing w:line="348" w:lineRule="auto" w:after="100"/>
        <w:ind w:left="454" w:hanging="454"/>
      </w:pPr>
      <w:r>
        <w:rPr>
          <w:rFonts w:ascii="NanumGothic" w:hAnsi="NanumGothic" w:eastAsia="NanumGothic"/>
          <w:b w:val="0"/>
          <w:sz w:val="20"/>
        </w:rPr>
        <w:t>국가법령정보센터. (2026a). 아동학대범죄의 처벌 등에 관한 특례법 제10조(아동학대범죄 신고의무와 절차) [시행 2026. 5. 19.].</w:t>
      </w:r>
    </w:p>
    <w:p>
      <w:pPr>
        <w:pStyle w:val="본문"/>
        <w:spacing w:line="348" w:lineRule="auto" w:after="100"/>
        <w:ind w:left="454" w:hanging="454"/>
      </w:pPr>
      <w:r>
        <w:rPr>
          <w:rFonts w:ascii="NanumGothic" w:hAnsi="NanumGothic" w:eastAsia="NanumGothic"/>
          <w:b w:val="0"/>
          <w:sz w:val="20"/>
        </w:rPr>
        <w:t>국가법령정보센터. (2026b). 정신건강증진 및 정신질환자 복지서비스 지원에 관한 법률 제71조(비밀누설의 금지) [시행 2026. 2. 12.].</w:t>
      </w:r>
    </w:p>
    <w:p>
      <w:pPr>
        <w:pStyle w:val="본문"/>
        <w:spacing w:line="348" w:lineRule="auto" w:after="100"/>
        <w:ind w:left="454" w:hanging="454"/>
      </w:pPr>
      <w:r>
        <w:rPr>
          <w:rFonts w:ascii="NanumGothic" w:hAnsi="NanumGothic" w:eastAsia="NanumGothic"/>
          <w:b w:val="0"/>
          <w:sz w:val="20"/>
        </w:rPr>
        <w:t>한국임상심리학회. (2025). 윤리규정(2025년 12월 수정). https://kcp.or.kr/user/sub01_4_2.asp</w:t>
      </w:r>
    </w:p>
    <w:p>
      <w:pPr>
        <w:spacing w:before="200"/>
      </w:pPr>
      <w:r>
        <w:rPr>
          <w:rFonts w:ascii="NanumGothic" w:hAnsi="NanumGothic" w:eastAsia="NanumGothic"/>
          <w:b w:val="0"/>
          <w:color w:val="646464"/>
          <w:sz w:val="18"/>
        </w:rPr>
        <w:t>※ 본문에서 제시한 사례는 윤리적 판단 연습을 위해 구성한 가상 사례이며, 실제 사건이나 특정 인물을 지칭하지 않는다.</w:t>
      </w:r>
    </w:p>
    <w:p>
      <w:r>
        <w:br w:type="page"/>
      </w:r>
    </w:p>
    <w:p>
      <w:pPr>
        <w:spacing w:after="360"/>
        <w:jc w:val="center"/>
      </w:pPr>
      <w:r>
        <w:rPr>
          <w:rFonts w:ascii="NanumSquare" w:hAnsi="NanumSquare" w:eastAsia="NanumSquare"/>
          <w:b/>
          <w:color w:val="1F4E79"/>
          <w:sz w:val="40"/>
        </w:rPr>
        <w:t>과제 참고자료 이용 안내</w:t>
      </w:r>
    </w:p>
    <w:tbl>
      <w:tblPr>
        <w:tblW w:type="auto" w:w="0"/>
        <w:jc w:val="center"/>
        <w:tblLayout w:type="fixed"/>
        <w:tblLook w:firstColumn="1" w:firstRow="1" w:lastColumn="0" w:lastRow="0" w:noHBand="0" w:noVBand="1" w:val="04A0"/>
      </w:tblPr>
      <w:tblGrid>
        <w:gridCol w:w="8617"/>
      </w:tblGrid>
      <w:tr>
        <w:tc>
          <w:tcPr>
            <w:tcW w:type="dxa" w:w="9648"/>
            <w:shd w:fill="FFF2CC"/>
            <w:tcMar>
              <w:top w:w="260" w:type="dxa"/>
              <w:start w:w="280" w:type="dxa"/>
              <w:bottom w:w="260" w:type="dxa"/>
              <w:end w:w="280" w:type="dxa"/>
            </w:tcMar>
          </w:tcPr>
          <w:p>
            <w:pPr>
              <w:spacing w:after="200"/>
            </w:pPr>
            <w:r>
              <w:rPr>
                <w:rFonts w:ascii="NanumSquare" w:hAnsi="NanumSquare" w:eastAsia="NanumSquare"/>
                <w:b/>
                <w:color w:val="C0504D"/>
                <w:sz w:val="28"/>
              </w:rPr>
              <w:t>주의사항</w:t>
            </w:r>
          </w:p>
          <w:p>
            <w:pPr>
              <w:spacing w:line="396" w:lineRule="auto"/>
              <w:jc w:val="center"/>
            </w:pPr>
            <w:r>
              <w:rPr>
                <w:rFonts w:ascii="NanumGothic" w:hAnsi="NanumGothic" w:eastAsia="NanumGothic"/>
                <w:b/>
                <w:color w:val="595959"/>
                <w:sz w:val="22"/>
              </w:rPr>
              <w:t>본 자료는 학점은행제 과제 참고용 샘플입니다.</w:t>
              <w:br/>
              <w:t>위 학습 자료를 그대로 제출할 경우 모사율(표절률)로 인하여</w:t>
              <w:br/>
              <w:t>성적 불이익 또는 해당 과목 0점 처리될 수 있습니다.</w:t>
              <w:br/>
              <w:t>반드시 본인의 언어로 수정·재작성하여 제출하시기 바랍니다.</w:t>
            </w:r>
          </w:p>
        </w:tc>
      </w:tr>
    </w:tbl>
    <w:p>
      <w:pPr>
        <w:spacing w:after="240"/>
      </w:pPr>
    </w:p>
    <w:tbl>
      <w:tblPr>
        <w:tblW w:type="auto" w:w="0"/>
        <w:jc w:val="center"/>
        <w:tblLayout w:type="fixed"/>
        <w:tblLook w:firstColumn="1" w:firstRow="1" w:lastColumn="0" w:lastRow="0" w:noHBand="0" w:noVBand="1" w:val="04A0"/>
      </w:tblPr>
      <w:tblGrid>
        <w:gridCol w:w="8617"/>
      </w:tblGrid>
      <w:tr>
        <w:tc>
          <w:tcPr>
            <w:tcW w:type="dxa" w:w="9648"/>
            <w:shd w:fill="EAF2F8"/>
            <w:tcMar>
              <w:top w:w="260" w:type="dxa"/>
              <w:start w:w="300" w:type="dxa"/>
              <w:bottom w:w="260" w:type="dxa"/>
              <w:end w:w="300" w:type="dxa"/>
            </w:tcMar>
          </w:tcPr>
          <w:p>
            <w:pPr>
              <w:spacing w:after="200"/>
              <w:jc w:val="center"/>
            </w:pPr>
            <w:r>
              <w:rPr>
                <w:rFonts w:ascii="NanumSquare" w:hAnsi="NanumSquare" w:eastAsia="NanumSquare"/>
                <w:b/>
                <w:color w:val="1F4E79"/>
                <w:sz w:val="28"/>
              </w:rPr>
              <w:t>과제 수정이 어려우신가요?</w:t>
            </w:r>
          </w:p>
          <w:p>
            <w:pPr>
              <w:spacing w:line="372" w:lineRule="auto"/>
              <w:jc w:val="center"/>
            </w:pPr>
            <w:r>
              <w:rPr>
                <w:rFonts w:ascii="NanumGothic" w:hAnsi="NanumGothic" w:eastAsia="NanumGothic"/>
                <w:b w:val="0"/>
                <w:sz w:val="21"/>
              </w:rPr>
              <w:t>국민원격교육관리센터에서 1:1 과제 수정 도움을 드립니다.</w:t>
              <w:br/>
              <w:t>아래 연락처로 문의해 주세요.</w:t>
            </w:r>
          </w:p>
          <w:p>
            <w:pPr>
              <w:spacing w:after="80"/>
              <w:ind w:left="1814"/>
            </w:pPr>
            <w:r>
              <w:rPr>
                <w:rFonts w:ascii="NanumGothic" w:hAnsi="NanumGothic" w:eastAsia="NanumGothic"/>
                <w:b/>
                <w:color w:val="2F5496"/>
                <w:sz w:val="21"/>
              </w:rPr>
              <w:t xml:space="preserve">전화: </w:t>
            </w:r>
            <w:r>
              <w:rPr>
                <w:rFonts w:ascii="NanumGothic" w:hAnsi="NanumGothic" w:eastAsia="NanumGothic"/>
                <w:b w:val="0"/>
                <w:sz w:val="21"/>
              </w:rPr>
              <w:t>050-7878-7044</w:t>
            </w:r>
          </w:p>
          <w:p>
            <w:pPr>
              <w:spacing w:after="80"/>
              <w:ind w:left="1814"/>
            </w:pPr>
            <w:r>
              <w:rPr>
                <w:rFonts w:ascii="NanumGothic" w:hAnsi="NanumGothic" w:eastAsia="NanumGothic"/>
                <w:b/>
                <w:color w:val="2F5496"/>
                <w:sz w:val="21"/>
              </w:rPr>
              <w:t xml:space="preserve">카카오톡: </w:t>
            </w:r>
            <w:r>
              <w:rPr>
                <w:rFonts w:ascii="NanumGothic" w:hAnsi="NanumGothic" w:eastAsia="NanumGothic"/>
                <w:b w:val="0"/>
                <w:sz w:val="21"/>
              </w:rPr>
              <w:t>@국민원격교육관리센터</w:t>
            </w:r>
          </w:p>
          <w:p>
            <w:pPr>
              <w:spacing w:after="80"/>
              <w:ind w:left="1814"/>
            </w:pPr>
            <w:r>
              <w:rPr>
                <w:rFonts w:ascii="NanumGothic" w:hAnsi="NanumGothic" w:eastAsia="NanumGothic"/>
                <w:b/>
                <w:color w:val="2F5496"/>
                <w:sz w:val="21"/>
              </w:rPr>
              <w:t xml:space="preserve">운영시간: </w:t>
            </w:r>
            <w:r>
              <w:rPr>
                <w:rFonts w:ascii="NanumGothic" w:hAnsi="NanumGothic" w:eastAsia="NanumGothic"/>
                <w:b w:val="0"/>
                <w:sz w:val="21"/>
              </w:rPr>
              <w:t>평일 10:00–19:00</w:t>
            </w:r>
          </w:p>
          <w:p>
            <w:pPr>
              <w:spacing w:after="80"/>
              <w:ind w:left="1814"/>
            </w:pPr>
            <w:r>
              <w:rPr>
                <w:rFonts w:ascii="NanumGothic" w:hAnsi="NanumGothic" w:eastAsia="NanumGothic"/>
                <w:b/>
                <w:color w:val="2F5496"/>
                <w:sz w:val="21"/>
              </w:rPr>
              <w:t xml:space="preserve">웹사이트: </w:t>
            </w:r>
            <w:r>
              <w:rPr>
                <w:rFonts w:ascii="NanumGothic" w:hAnsi="NanumGothic" w:eastAsia="NanumGothic"/>
                <w:b w:val="0"/>
                <w:sz w:val="21"/>
              </w:rPr>
              <w:t>korealms.co.kr</w:t>
            </w:r>
          </w:p>
        </w:tc>
      </w:tr>
    </w:tbl>
    <w:p>
      <w:pPr>
        <w:spacing w:before="480"/>
        <w:jc w:val="center"/>
      </w:pPr>
      <w:r>
        <w:rPr>
          <w:rFonts w:ascii="NanumSquare" w:hAnsi="NanumSquare" w:eastAsia="NanumSquare"/>
          <w:b/>
          <w:color w:val="5B9BD5"/>
          <w:sz w:val="24"/>
        </w:rPr>
        <w:t>국민원격교육관리센터</w:t>
      </w:r>
    </w:p>
    <w:sectPr w:rsidR="00FC693F" w:rsidRPr="0006063C" w:rsidSect="00034616">
      <w:headerReference w:type="default" r:id="rId9"/>
      <w:footerReference w:type="default" r:id="rId10"/>
      <w:pgSz w:w="12240" w:h="15840"/>
      <w:pgMar w:top="1224" w:right="1296" w:bottom="1152" w:left="1296" w:header="504" w:footer="504"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rPr>
        <w:rFonts w:ascii="NanumGothic" w:hAnsi="NanumGothic" w:eastAsia="NanumGothic"/>
        <w:b w:val="0"/>
        <w:color w:val="787878"/>
        <w:sz w:val="17"/>
      </w:rPr>
      <w:fldChar w:fldCharType="begin"/>
      <w:instrText xml:space="preserve"> PAGE </w:instrText>
      <w:fldChar w:fldCharType="end"/>
    </w:r>
  </w:p>
</w:ftr>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jc w:val="right"/>
    </w:pPr>
    <w:r>
      <w:rPr>
        <w:rFonts w:ascii="NanumGothic" w:hAnsi="NanumGothic" w:eastAsia="NanumGothic"/>
        <w:b w:val="0"/>
        <w:color w:val="787878"/>
        <w:sz w:val="17"/>
      </w:rPr>
      <w:t>임상심리학 과제 참고용 샘플</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NanumGothic" w:hAnsi="NanumGothic" w:eastAsia="NanumGothic"/>
      <w:sz w:val="21"/>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본문">
    <w:name w:val="본문"/>
    <w:basedOn w:val="Normal"/>
    <w:pPr>
      <w:spacing w:line="389" w:lineRule="auto" w:after="120"/>
      <w:jc w:val="both"/>
    </w:pPr>
    <w:rPr>
      <w:rFonts w:ascii="NanumGothic" w:hAnsi="NanumGothic" w:eastAsia="NanumGothic"/>
      <w:sz w:val="21"/>
    </w:rPr>
  </w:style>
  <w:style w:type="paragraph" w:customStyle="1" w:styleId="목록">
    <w:name w:val="목록"/>
    <w:basedOn w:val="본문"/>
    <w:pPr>
      <w:spacing w:line="360" w:lineRule="auto" w:after="80"/>
    </w:pPr>
  </w:style>
  <w:style w:type="paragraph" w:customStyle="1" w:styleId="제목1">
    <w:name w:val="제목 1"/>
    <w:basedOn w:val="Normal"/>
    <w:pPr>
      <w:keepNext/>
      <w:spacing w:before="160" w:after="160"/>
    </w:pPr>
  </w:style>
  <w:style w:type="paragraph" w:customStyle="1" w:styleId="제목2">
    <w:name w:val="제목 2"/>
    <w:basedOn w:val="Normal"/>
    <w:pPr>
      <w:keepNext/>
      <w:spacing w:before="120" w:after="100"/>
    </w:pPr>
  </w:style>
  <w:style w:type="paragraph" w:customStyle="1" w:styleId="표지소제목">
    <w:name w:val="표지 소제목"/>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 Id="rId1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임상심리 윤리규정 중 비밀유지 사례와 적절한 대처 방법</dc:title>
  <dc:subject>학점은행제 임상심리학 과제 참고용 샘플</dc:subject>
  <dc:creator>국민원격교육관리센터</dc:creator>
  <cp:keywords>임상심리학, 윤리규정, 비밀유지, 비밀보장, 자해위험, 아동학대</cp:keywords>
  <dc:description>generated by python-docx</dc:description>
  <cp:lastModifiedBy/>
  <cp:revision>1</cp:revision>
  <dcterms:created xsi:type="dcterms:W3CDTF">2013-12-23T23:15:00Z</dcterms:created>
  <dcterms:modified xsi:type="dcterms:W3CDTF">2013-12-23T23:15:00Z</dcterms:modified>
  <cp:category/>
</cp:coreProperties>
</file>