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85" w:rsidRDefault="00C13485">
      <w:pPr>
        <w:spacing w:before="60" w:after="60"/>
      </w:pPr>
    </w:p>
    <w:p w:rsidR="00C13485" w:rsidRDefault="00C13485">
      <w:pPr>
        <w:spacing w:before="60" w:after="60"/>
      </w:pPr>
    </w:p>
    <w:p w:rsidR="00C13485" w:rsidRDefault="00C13485">
      <w:pPr>
        <w:spacing w:before="60" w:after="60"/>
      </w:pPr>
    </w:p>
    <w:p w:rsidR="00C13485" w:rsidRDefault="00864F14">
      <w:pPr>
        <w:spacing w:before="200" w:after="200"/>
        <w:jc w:val="center"/>
      </w:pPr>
      <w:r>
        <w:rPr>
          <w:rFonts w:ascii="맑은 고딕" w:eastAsia="맑은 고딕" w:hAnsi="맑은 고딕" w:cs="맑은 고딕"/>
          <w:b/>
          <w:bCs/>
          <w:color w:val="1F3864"/>
          <w:sz w:val="36"/>
          <w:szCs w:val="36"/>
        </w:rPr>
        <w:t>국제경영</w:t>
      </w:r>
      <w:bookmarkStart w:id="0" w:name="_GoBack"/>
      <w:bookmarkEnd w:id="0"/>
    </w:p>
    <w:p w:rsidR="00C13485" w:rsidRDefault="00C13485">
      <w:pPr>
        <w:pBdr>
          <w:bottom w:val="single" w:sz="6" w:space="0" w:color="2E74B5"/>
        </w:pBdr>
        <w:spacing w:after="400"/>
      </w:pPr>
    </w:p>
    <w:p w:rsidR="00C13485" w:rsidRDefault="00864F14">
      <w:pPr>
        <w:spacing w:before="200" w:after="600"/>
        <w:jc w:val="center"/>
      </w:pP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주제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: 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기업을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 1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개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선정하고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기업경영의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주요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목적을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333333"/>
          <w:sz w:val="26"/>
          <w:szCs w:val="26"/>
        </w:rPr>
        <w:t>분석하시오</w:t>
      </w:r>
    </w:p>
    <w:p w:rsidR="00C13485" w:rsidRDefault="00864F14" w:rsidP="007424A0">
      <w:pPr>
        <w:spacing w:after="800"/>
        <w:jc w:val="center"/>
        <w:rPr>
          <w:rFonts w:hint="eastAsia"/>
        </w:rPr>
      </w:pP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 xml:space="preserve">— 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삼성전자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(Samsung Electronics)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의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경영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목적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분석을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>중심으로</w:t>
      </w:r>
      <w:r>
        <w:rPr>
          <w:rFonts w:ascii="맑은 고딕" w:eastAsia="맑은 고딕" w:hAnsi="맑은 고딕" w:cs="맑은 고딕"/>
          <w:i/>
          <w:iCs/>
          <w:color w:val="555555"/>
          <w:sz w:val="22"/>
          <w:szCs w:val="22"/>
        </w:rPr>
        <w:t xml:space="preserve"> —</w:t>
      </w:r>
    </w:p>
    <w:p w:rsidR="00C13485" w:rsidRPr="007424A0" w:rsidRDefault="00C13485">
      <w:pPr>
        <w:spacing w:before="60" w:after="60"/>
      </w:pPr>
    </w:p>
    <w:p w:rsidR="00C13485" w:rsidRDefault="00864F14">
      <w:pPr>
        <w:pBdr>
          <w:bottom w:val="single" w:sz="4" w:space="0" w:color="AAAAAA"/>
        </w:pBdr>
        <w:spacing w:before="300" w:after="200"/>
        <w:jc w:val="center"/>
      </w:pPr>
      <w:r>
        <w:rPr>
          <w:rFonts w:ascii="맑은 고딕" w:eastAsia="맑은 고딕" w:hAnsi="맑은 고딕" w:cs="맑은 고딕"/>
          <w:b/>
          <w:bCs/>
          <w:color w:val="1F3864"/>
          <w:sz w:val="26"/>
          <w:szCs w:val="26"/>
        </w:rPr>
        <w:t>목</w:t>
      </w:r>
      <w:r>
        <w:rPr>
          <w:rFonts w:ascii="맑은 고딕" w:eastAsia="맑은 고딕" w:hAnsi="맑은 고딕" w:cs="맑은 고딕"/>
          <w:b/>
          <w:bCs/>
          <w:color w:val="1F3864"/>
          <w:sz w:val="26"/>
          <w:szCs w:val="26"/>
        </w:rPr>
        <w:t xml:space="preserve">    </w:t>
      </w:r>
      <w:r>
        <w:rPr>
          <w:rFonts w:ascii="맑은 고딕" w:eastAsia="맑은 고딕" w:hAnsi="맑은 고딕" w:cs="맑은 고딕"/>
          <w:b/>
          <w:bCs/>
          <w:color w:val="1F3864"/>
          <w:sz w:val="26"/>
          <w:szCs w:val="26"/>
        </w:rPr>
        <w:t>차</w:t>
      </w:r>
    </w:p>
    <w:p w:rsidR="00C13485" w:rsidRDefault="00C13485">
      <w:pPr>
        <w:spacing w:before="60" w:after="60"/>
      </w:pPr>
    </w:p>
    <w:p w:rsidR="00C13485" w:rsidRDefault="00864F14">
      <w:pPr>
        <w:spacing w:before="100" w:after="80"/>
      </w:pPr>
      <w:r>
        <w:rPr>
          <w:rFonts w:ascii="맑은 고딕" w:eastAsia="맑은 고딕" w:hAnsi="맑은 고딕" w:cs="맑은 고딕"/>
          <w:sz w:val="22"/>
          <w:szCs w:val="22"/>
        </w:rPr>
        <w:t xml:space="preserve">Ⅰ. </w:t>
      </w:r>
      <w:r>
        <w:rPr>
          <w:rFonts w:ascii="맑은 고딕" w:eastAsia="맑은 고딕" w:hAnsi="맑은 고딕" w:cs="맑은 고딕"/>
          <w:sz w:val="22"/>
          <w:szCs w:val="22"/>
        </w:rPr>
        <w:t>서론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···················································· 2</w:t>
      </w:r>
    </w:p>
    <w:p w:rsidR="00C13485" w:rsidRDefault="00864F14">
      <w:pPr>
        <w:spacing w:before="80" w:after="80"/>
      </w:pPr>
      <w:r>
        <w:rPr>
          <w:rFonts w:ascii="맑은 고딕" w:eastAsia="맑은 고딕" w:hAnsi="맑은 고딕" w:cs="맑은 고딕"/>
          <w:sz w:val="22"/>
          <w:szCs w:val="22"/>
        </w:rPr>
        <w:t xml:space="preserve">Ⅱ. </w:t>
      </w:r>
      <w:r>
        <w:rPr>
          <w:rFonts w:ascii="맑은 고딕" w:eastAsia="맑은 고딕" w:hAnsi="맑은 고딕" w:cs="맑은 고딕"/>
          <w:sz w:val="22"/>
          <w:szCs w:val="22"/>
        </w:rPr>
        <w:t>삼성전자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개요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··································· 2</w:t>
      </w:r>
    </w:p>
    <w:p w:rsidR="00C13485" w:rsidRDefault="00864F14">
      <w:pPr>
        <w:spacing w:before="80" w:after="60"/>
      </w:pPr>
      <w:r>
        <w:rPr>
          <w:rFonts w:ascii="맑은 고딕" w:eastAsia="맑은 고딕" w:hAnsi="맑은 고딕" w:cs="맑은 고딕"/>
          <w:sz w:val="22"/>
          <w:szCs w:val="22"/>
        </w:rPr>
        <w:t xml:space="preserve">Ⅲ. </w:t>
      </w:r>
      <w:r>
        <w:rPr>
          <w:rFonts w:ascii="맑은 고딕" w:eastAsia="맑은 고딕" w:hAnsi="맑은 고딕" w:cs="맑은 고딕"/>
          <w:sz w:val="22"/>
          <w:szCs w:val="22"/>
        </w:rPr>
        <w:t>기업경영의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분석</w:t>
      </w:r>
    </w:p>
    <w:p w:rsidR="00C13485" w:rsidRDefault="00864F14">
      <w:pPr>
        <w:spacing w:before="60" w:after="60"/>
      </w:pPr>
      <w:r>
        <w:rPr>
          <w:rFonts w:ascii="맑은 고딕" w:eastAsia="맑은 고딕" w:hAnsi="맑은 고딕" w:cs="맑은 고딕"/>
          <w:sz w:val="22"/>
          <w:szCs w:val="22"/>
        </w:rPr>
        <w:t xml:space="preserve">   1. </w:t>
      </w:r>
      <w:r>
        <w:rPr>
          <w:rFonts w:ascii="맑은 고딕" w:eastAsia="맑은 고딕" w:hAnsi="맑은 고딕" w:cs="맑은 고딕"/>
          <w:sz w:val="22"/>
          <w:szCs w:val="22"/>
        </w:rPr>
        <w:t>이윤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극대화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및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가능한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 3</w:t>
      </w:r>
    </w:p>
    <w:p w:rsidR="00C13485" w:rsidRDefault="00864F14">
      <w:pPr>
        <w:spacing w:before="60" w:after="60"/>
      </w:pPr>
      <w:r>
        <w:rPr>
          <w:rFonts w:ascii="맑은 고딕" w:eastAsia="맑은 고딕" w:hAnsi="맑은 고딕" w:cs="맑은 고딕"/>
          <w:sz w:val="22"/>
          <w:szCs w:val="22"/>
        </w:rPr>
        <w:t xml:space="preserve">   2.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및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경쟁우위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유지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 3</w:t>
      </w:r>
    </w:p>
    <w:p w:rsidR="00C13485" w:rsidRDefault="00864F14">
      <w:pPr>
        <w:spacing w:before="60" w:after="60"/>
      </w:pPr>
      <w:r>
        <w:rPr>
          <w:rFonts w:ascii="맑은 고딕" w:eastAsia="맑은 고딕" w:hAnsi="맑은 고딕" w:cs="맑은 고딕"/>
          <w:sz w:val="22"/>
          <w:szCs w:val="22"/>
        </w:rPr>
        <w:t xml:space="preserve">   3.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연구개발</w:t>
      </w:r>
      <w:r>
        <w:rPr>
          <w:rFonts w:ascii="맑은 고딕" w:eastAsia="맑은 고딕" w:hAnsi="맑은 고딕" w:cs="맑은 고딕"/>
          <w:sz w:val="22"/>
          <w:szCs w:val="22"/>
        </w:rPr>
        <w:t xml:space="preserve">(R&amp;D) </w:t>
      </w:r>
      <w:r>
        <w:rPr>
          <w:rFonts w:ascii="맑은 고딕" w:eastAsia="맑은 고딕" w:hAnsi="맑은 고딕" w:cs="맑은 고딕"/>
          <w:sz w:val="22"/>
          <w:szCs w:val="22"/>
        </w:rPr>
        <w:t>목적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 4</w:t>
      </w:r>
    </w:p>
    <w:p w:rsidR="00C13485" w:rsidRDefault="00864F14">
      <w:pPr>
        <w:spacing w:before="60" w:after="60"/>
      </w:pPr>
      <w:r>
        <w:rPr>
          <w:rFonts w:ascii="맑은 고딕" w:eastAsia="맑은 고딕" w:hAnsi="맑은 고딕" w:cs="맑은 고딕"/>
          <w:sz w:val="22"/>
          <w:szCs w:val="22"/>
        </w:rPr>
        <w:t xml:space="preserve">   4. </w:t>
      </w:r>
      <w:r>
        <w:rPr>
          <w:rFonts w:ascii="맑은 고딕" w:eastAsia="맑은 고딕" w:hAnsi="맑은 고딕" w:cs="맑은 고딕"/>
          <w:sz w:val="22"/>
          <w:szCs w:val="22"/>
        </w:rPr>
        <w:t>이해관계자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창출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····························· 4</w:t>
      </w:r>
    </w:p>
    <w:p w:rsidR="00C13485" w:rsidRDefault="00864F14">
      <w:pPr>
        <w:spacing w:before="60" w:after="80"/>
      </w:pPr>
      <w:r>
        <w:rPr>
          <w:rFonts w:ascii="맑은 고딕" w:eastAsia="맑은 고딕" w:hAnsi="맑은 고딕" w:cs="맑은 고딕"/>
          <w:sz w:val="22"/>
          <w:szCs w:val="22"/>
        </w:rPr>
        <w:t xml:space="preserve">  </w:t>
      </w:r>
      <w:r>
        <w:rPr>
          <w:rFonts w:ascii="맑은 고딕" w:eastAsia="맑은 고딕" w:hAnsi="맑은 고딕" w:cs="맑은 고딕"/>
          <w:sz w:val="22"/>
          <w:szCs w:val="22"/>
        </w:rPr>
        <w:t xml:space="preserve"> 5. </w:t>
      </w:r>
      <w:r>
        <w:rPr>
          <w:rFonts w:ascii="맑은 고딕" w:eastAsia="맑은 고딕" w:hAnsi="맑은 고딕" w:cs="맑은 고딕"/>
          <w:sz w:val="22"/>
          <w:szCs w:val="22"/>
        </w:rPr>
        <w:t>사회적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책임</w:t>
      </w:r>
      <w:r>
        <w:rPr>
          <w:rFonts w:ascii="맑은 고딕" w:eastAsia="맑은 고딕" w:hAnsi="맑은 고딕" w:cs="맑은 고딕"/>
          <w:sz w:val="22"/>
          <w:szCs w:val="22"/>
        </w:rPr>
        <w:t>(CSR)</w:t>
      </w:r>
      <w:r>
        <w:rPr>
          <w:rFonts w:ascii="맑은 고딕" w:eastAsia="맑은 고딕" w:hAnsi="맑은 고딕" w:cs="맑은 고딕"/>
          <w:sz w:val="22"/>
          <w:szCs w:val="22"/>
        </w:rPr>
        <w:t>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ESG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···················· 5</w:t>
      </w:r>
    </w:p>
    <w:p w:rsidR="00C13485" w:rsidRDefault="00864F14">
      <w:pPr>
        <w:spacing w:before="80" w:after="80"/>
      </w:pPr>
      <w:r>
        <w:rPr>
          <w:rFonts w:ascii="맑은 고딕" w:eastAsia="맑은 고딕" w:hAnsi="맑은 고딕" w:cs="맑은 고딕"/>
          <w:sz w:val="22"/>
          <w:szCs w:val="22"/>
        </w:rPr>
        <w:t xml:space="preserve">Ⅳ. </w:t>
      </w:r>
      <w:r>
        <w:rPr>
          <w:rFonts w:ascii="맑은 고딕" w:eastAsia="맑은 고딕" w:hAnsi="맑은 고딕" w:cs="맑은 고딕"/>
          <w:sz w:val="22"/>
          <w:szCs w:val="22"/>
        </w:rPr>
        <w:t>결론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···················································· 5</w:t>
      </w:r>
    </w:p>
    <w:p w:rsidR="00C13485" w:rsidRDefault="00864F14">
      <w:pPr>
        <w:spacing w:before="80" w:after="80"/>
      </w:pPr>
      <w:r>
        <w:rPr>
          <w:rFonts w:ascii="맑은 고딕" w:eastAsia="맑은 고딕" w:hAnsi="맑은 고딕" w:cs="맑은 고딕"/>
          <w:sz w:val="22"/>
          <w:szCs w:val="22"/>
        </w:rPr>
        <w:t>참고문헌</w:t>
      </w:r>
      <w:r>
        <w:rPr>
          <w:rFonts w:ascii="맑은 고딕" w:eastAsia="맑은 고딕" w:hAnsi="맑은 고딕" w:cs="맑은 고딕"/>
          <w:sz w:val="22"/>
          <w:szCs w:val="22"/>
        </w:rPr>
        <w:t xml:space="preserve"> ·················································· 6</w:t>
      </w:r>
    </w:p>
    <w:p w:rsidR="00C13485" w:rsidRDefault="00864F14">
      <w:r>
        <w:br w:type="page"/>
      </w:r>
    </w:p>
    <w:p w:rsidR="00C13485" w:rsidRDefault="00864F14" w:rsidP="007424A0">
      <w:pPr>
        <w:pStyle w:val="1"/>
        <w:spacing w:before="400" w:after="200"/>
      </w:pP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lastRenderedPageBreak/>
        <w:t xml:space="preserve">Ⅰ.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서론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현대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단순히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제품이나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서비스를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판매하여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수익을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창출하는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주체를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넘어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사회</w:t>
      </w:r>
      <w:r>
        <w:rPr>
          <w:rFonts w:ascii="맑은 고딕" w:eastAsia="맑은 고딕" w:hAnsi="맑은 고딕" w:cs="맑은 고딕"/>
          <w:sz w:val="22"/>
          <w:szCs w:val="22"/>
        </w:rPr>
        <w:t>·</w:t>
      </w:r>
      <w:r>
        <w:rPr>
          <w:rFonts w:ascii="맑은 고딕" w:eastAsia="맑은 고딕" w:hAnsi="맑은 고딕" w:cs="맑은 고딕"/>
          <w:sz w:val="22"/>
          <w:szCs w:val="22"/>
        </w:rPr>
        <w:t>경제</w:t>
      </w:r>
      <w:r>
        <w:rPr>
          <w:rFonts w:ascii="맑은 고딕" w:eastAsia="맑은 고딕" w:hAnsi="맑은 고딕" w:cs="맑은 고딕"/>
          <w:sz w:val="22"/>
          <w:szCs w:val="22"/>
        </w:rPr>
        <w:t>·</w:t>
      </w:r>
      <w:r>
        <w:rPr>
          <w:rFonts w:ascii="맑은 고딕" w:eastAsia="맑은 고딕" w:hAnsi="맑은 고딕" w:cs="맑은 고딕"/>
          <w:sz w:val="22"/>
          <w:szCs w:val="22"/>
        </w:rPr>
        <w:t>환경적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복합적으로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추구하는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조직으로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진화하고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특히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심화되는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국제경영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환경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속에서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기업이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추구하는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내부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구성원과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주주뿐만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아니라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다양한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이해관계자와의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총체적으로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포괄하는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방향으로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확장되고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보고서에서는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한국을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대표하는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</w:t>
      </w:r>
      <w:r>
        <w:rPr>
          <w:rFonts w:ascii="맑은 고딕" w:eastAsia="맑은 고딕" w:hAnsi="맑은 고딕" w:cs="맑은 고딕"/>
          <w:sz w:val="22"/>
          <w:szCs w:val="22"/>
        </w:rPr>
        <w:t>(Samsung Electronics Co., Ltd.)</w:t>
      </w:r>
      <w:r>
        <w:rPr>
          <w:rFonts w:ascii="맑은 고딕" w:eastAsia="맑은 고딕" w:hAnsi="맑은 고딕" w:cs="맑은 고딕"/>
          <w:sz w:val="22"/>
          <w:szCs w:val="22"/>
        </w:rPr>
        <w:t>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분석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선정하였다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스마트폰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디스플레이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가전제품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다양한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영역에서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세계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최고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수준의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경쟁력을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보유한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국제경영학적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관점에서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매우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중요한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시사점을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제공한다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이에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개요를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살펴보고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이윤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극대화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경쟁우위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이해관계자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창출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사회적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책임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다섯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핵심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체계적으로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분석하고자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한다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1"/>
        <w:spacing w:before="400" w:after="200"/>
      </w:pP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Ⅱ.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삼성전자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기업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개요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1969</w:t>
      </w:r>
      <w:r>
        <w:rPr>
          <w:rFonts w:ascii="맑은 고딕" w:eastAsia="맑은 고딕" w:hAnsi="맑은 고딕" w:cs="맑은 고딕"/>
          <w:sz w:val="22"/>
          <w:szCs w:val="22"/>
        </w:rPr>
        <w:t>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1</w:t>
      </w:r>
      <w:r>
        <w:rPr>
          <w:rFonts w:ascii="맑은 고딕" w:eastAsia="맑은 고딕" w:hAnsi="맑은 고딕" w:cs="맑은 고딕"/>
          <w:sz w:val="22"/>
          <w:szCs w:val="22"/>
        </w:rPr>
        <w:t>월</w:t>
      </w:r>
      <w:r>
        <w:rPr>
          <w:rFonts w:ascii="맑은 고딕" w:eastAsia="맑은 고딕" w:hAnsi="맑은 고딕" w:cs="맑은 고딕"/>
          <w:sz w:val="22"/>
          <w:szCs w:val="22"/>
        </w:rPr>
        <w:t xml:space="preserve"> 13</w:t>
      </w:r>
      <w:r>
        <w:rPr>
          <w:rFonts w:ascii="맑은 고딕" w:eastAsia="맑은 고딕" w:hAnsi="맑은 고딕" w:cs="맑은 고딕"/>
          <w:sz w:val="22"/>
          <w:szCs w:val="22"/>
        </w:rPr>
        <w:t>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</w:t>
      </w:r>
      <w:r>
        <w:rPr>
          <w:rFonts w:ascii="맑은 고딕" w:eastAsia="맑은 고딕" w:hAnsi="맑은 고딕" w:cs="맑은 고딕"/>
          <w:sz w:val="22"/>
          <w:szCs w:val="22"/>
        </w:rPr>
        <w:t>공업주식회사로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설립되었으며</w:t>
      </w:r>
      <w:r>
        <w:rPr>
          <w:rFonts w:ascii="맑은 고딕" w:eastAsia="맑은 고딕" w:hAnsi="맑은 고딕" w:cs="맑은 고딕"/>
          <w:sz w:val="22"/>
          <w:szCs w:val="22"/>
        </w:rPr>
        <w:t>, 1974</w:t>
      </w:r>
      <w:r>
        <w:rPr>
          <w:rFonts w:ascii="맑은 고딕" w:eastAsia="맑은 고딕" w:hAnsi="맑은 고딕" w:cs="맑은 고딕"/>
          <w:sz w:val="22"/>
          <w:szCs w:val="22"/>
        </w:rPr>
        <w:t>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사업에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진출한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지속적인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오늘날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세계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최대</w:t>
      </w:r>
      <w:r>
        <w:rPr>
          <w:rFonts w:ascii="맑은 고딕" w:eastAsia="맑은 고딕" w:hAnsi="맑은 고딕" w:cs="맑은 고딕"/>
          <w:sz w:val="22"/>
          <w:szCs w:val="22"/>
        </w:rPr>
        <w:t xml:space="preserve"> IT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중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하나로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성장하였다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본사는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대한민국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경기도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수원에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위치하며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세계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74</w:t>
      </w:r>
      <w:r>
        <w:rPr>
          <w:rFonts w:ascii="맑은 고딕" w:eastAsia="맑은 고딕" w:hAnsi="맑은 고딕" w:cs="맑은 고딕"/>
          <w:sz w:val="22"/>
          <w:szCs w:val="22"/>
        </w:rPr>
        <w:t>개국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이상에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생산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및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판매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법인을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운영하고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2023</w:t>
      </w:r>
      <w:r>
        <w:rPr>
          <w:rFonts w:ascii="맑은 고딕" w:eastAsia="맑은 고딕" w:hAnsi="맑은 고딕" w:cs="맑은 고딕"/>
          <w:sz w:val="22"/>
          <w:szCs w:val="22"/>
        </w:rPr>
        <w:t>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매출액은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약</w:t>
      </w:r>
      <w:r>
        <w:rPr>
          <w:rFonts w:ascii="맑은 고딕" w:eastAsia="맑은 고딕" w:hAnsi="맑은 고딕" w:cs="맑은 고딕"/>
          <w:sz w:val="22"/>
          <w:szCs w:val="22"/>
        </w:rPr>
        <w:t xml:space="preserve"> 258</w:t>
      </w:r>
      <w:r>
        <w:rPr>
          <w:rFonts w:ascii="맑은 고딕" w:eastAsia="맑은 고딕" w:hAnsi="맑은 고딕" w:cs="맑은 고딕"/>
          <w:sz w:val="22"/>
          <w:szCs w:val="22"/>
        </w:rPr>
        <w:t>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달하며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임직원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약</w:t>
      </w:r>
      <w:r>
        <w:rPr>
          <w:rFonts w:ascii="맑은 고딕" w:eastAsia="맑은 고딕" w:hAnsi="맑은 고딕" w:cs="맑은 고딕"/>
          <w:sz w:val="22"/>
          <w:szCs w:val="22"/>
        </w:rPr>
        <w:t xml:space="preserve"> 26</w:t>
      </w:r>
      <w:r>
        <w:rPr>
          <w:rFonts w:ascii="맑은 고딕" w:eastAsia="맑은 고딕" w:hAnsi="맑은 고딕" w:cs="맑은 고딕"/>
          <w:sz w:val="22"/>
          <w:szCs w:val="22"/>
        </w:rPr>
        <w:t>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명실상부한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초일류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위상을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갖추고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사업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구조는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크게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DX(Device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eXperience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>)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부문과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DS(Device Solutions) </w:t>
      </w:r>
      <w:r>
        <w:rPr>
          <w:rFonts w:ascii="맑은 고딕" w:eastAsia="맑은 고딕" w:hAnsi="맑은 고딕" w:cs="맑은 고딕"/>
          <w:sz w:val="22"/>
          <w:szCs w:val="22"/>
        </w:rPr>
        <w:t>부문으로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나뉘며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전자제품과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반도체라는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축이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상호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보완적으로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견인하고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비전은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"</w:t>
      </w:r>
      <w:r>
        <w:rPr>
          <w:rFonts w:ascii="맑은 고딕" w:eastAsia="맑은 고딕" w:hAnsi="맑은 고딕" w:cs="맑은 고딕"/>
          <w:sz w:val="22"/>
          <w:szCs w:val="22"/>
        </w:rPr>
        <w:t>미래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사회를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선도하는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나은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세상을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만든다</w:t>
      </w:r>
      <w:r>
        <w:rPr>
          <w:rFonts w:ascii="맑은 고딕" w:eastAsia="맑은 고딕" w:hAnsi="맑은 고딕" w:cs="맑은 고딕"/>
          <w:sz w:val="22"/>
          <w:szCs w:val="22"/>
        </w:rPr>
        <w:t>"</w:t>
      </w:r>
      <w:r>
        <w:rPr>
          <w:rFonts w:ascii="맑은 고딕" w:eastAsia="맑은 고딕" w:hAnsi="맑은 고딕" w:cs="맑은 고딕"/>
          <w:sz w:val="22"/>
          <w:szCs w:val="22"/>
        </w:rPr>
        <w:t>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철학에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기반을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두고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있으며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이는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이하에서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분석하는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전반에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걸쳐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일관되게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반영된다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1"/>
        <w:spacing w:before="400" w:after="200"/>
      </w:pP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Ⅲ.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기업경영의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주요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목적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분석</w:t>
      </w:r>
    </w:p>
    <w:p w:rsidR="00C13485" w:rsidRDefault="00864F14" w:rsidP="007424A0">
      <w:pPr>
        <w:pStyle w:val="2"/>
        <w:spacing w:before="300" w:after="150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1.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이윤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극대화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및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지속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가능한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성장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기업경영의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기본적인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극대화</w:t>
      </w:r>
      <w:r>
        <w:rPr>
          <w:rFonts w:ascii="맑은 고딕" w:eastAsia="맑은 고딕" w:hAnsi="맑은 고딕" w:cs="맑은 고딕"/>
          <w:sz w:val="22"/>
          <w:szCs w:val="22"/>
        </w:rPr>
        <w:t>(profit maximization)</w:t>
      </w:r>
      <w:r>
        <w:rPr>
          <w:rFonts w:ascii="맑은 고딕" w:eastAsia="맑은 고딕" w:hAnsi="맑은 고딕" w:cs="맑은 고딕"/>
          <w:sz w:val="22"/>
          <w:szCs w:val="22"/>
        </w:rPr>
        <w:t>이다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수율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개선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프리미엄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영업이익률을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관리하고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부문</w:t>
      </w:r>
      <w:r>
        <w:rPr>
          <w:rFonts w:ascii="맑은 고딕" w:eastAsia="맑은 고딕" w:hAnsi="맑은 고딕" w:cs="맑은 고딕"/>
          <w:sz w:val="22"/>
          <w:szCs w:val="22"/>
        </w:rPr>
        <w:t>(DS)</w:t>
      </w:r>
      <w:r>
        <w:rPr>
          <w:rFonts w:ascii="맑은 고딕" w:eastAsia="맑은 고딕" w:hAnsi="맑은 고딕" w:cs="맑은 고딕"/>
          <w:sz w:val="22"/>
          <w:szCs w:val="22"/>
        </w:rPr>
        <w:t>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메모리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및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파운드리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분야의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추진하며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소비자가전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부문</w:t>
      </w:r>
      <w:r>
        <w:rPr>
          <w:rFonts w:ascii="맑은 고딕" w:eastAsia="맑은 고딕" w:hAnsi="맑은 고딕" w:cs="맑은 고딕"/>
          <w:sz w:val="22"/>
          <w:szCs w:val="22"/>
        </w:rPr>
        <w:t>(DX)</w:t>
      </w:r>
      <w:r>
        <w:rPr>
          <w:rFonts w:ascii="맑은 고딕" w:eastAsia="맑은 고딕" w:hAnsi="맑은 고딕" w:cs="맑은 고딕"/>
          <w:sz w:val="22"/>
          <w:szCs w:val="22"/>
        </w:rPr>
        <w:t>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갤럭시</w:t>
      </w:r>
      <w:r>
        <w:rPr>
          <w:rFonts w:ascii="맑은 고딕" w:eastAsia="맑은 고딕" w:hAnsi="맑은 고딕" w:cs="맑은 고딕"/>
          <w:sz w:val="22"/>
          <w:szCs w:val="22"/>
        </w:rPr>
        <w:t xml:space="preserve"> S </w:t>
      </w:r>
      <w:r>
        <w:rPr>
          <w:rFonts w:ascii="맑은 고딕" w:eastAsia="맑은 고딕" w:hAnsi="맑은 고딕" w:cs="맑은 고딕"/>
          <w:sz w:val="22"/>
          <w:szCs w:val="22"/>
        </w:rPr>
        <w:t>시리즈와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같은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프리미엄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스마트폰을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높은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마진을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확보한다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lastRenderedPageBreak/>
        <w:t>그러나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단기적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극대화에만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집중하지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않고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장기적이고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가능</w:t>
      </w:r>
      <w:r>
        <w:rPr>
          <w:rFonts w:ascii="맑은 고딕" w:eastAsia="맑은 고딕" w:hAnsi="맑은 고딕" w:cs="맑은 고딕"/>
          <w:sz w:val="22"/>
          <w:szCs w:val="22"/>
        </w:rPr>
        <w:t>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</w:t>
      </w:r>
      <w:r>
        <w:rPr>
          <w:rFonts w:ascii="맑은 고딕" w:eastAsia="맑은 고딕" w:hAnsi="맑은 고딕" w:cs="맑은 고딕"/>
          <w:sz w:val="22"/>
          <w:szCs w:val="22"/>
        </w:rPr>
        <w:t>(sustainable growth)</w:t>
      </w:r>
      <w:r>
        <w:rPr>
          <w:rFonts w:ascii="맑은 고딕" w:eastAsia="맑은 고딕" w:hAnsi="맑은 고딕" w:cs="맑은 고딕"/>
          <w:sz w:val="22"/>
          <w:szCs w:val="22"/>
        </w:rPr>
        <w:t>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동시에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추구한다는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점에서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주목할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필요가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이를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매년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수십조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규모의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투자와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연구개발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투자를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집행하며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미래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동력을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발굴하고자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인공지능</w:t>
      </w:r>
      <w:r>
        <w:rPr>
          <w:rFonts w:ascii="맑은 고딕" w:eastAsia="맑은 고딕" w:hAnsi="맑은 고딕" w:cs="맑은 고딕"/>
          <w:sz w:val="22"/>
          <w:szCs w:val="22"/>
        </w:rPr>
        <w:t xml:space="preserve">(AI), </w:t>
      </w:r>
      <w:r>
        <w:rPr>
          <w:rFonts w:ascii="맑은 고딕" w:eastAsia="맑은 고딕" w:hAnsi="맑은 고딕" w:cs="맑은 고딕"/>
          <w:sz w:val="22"/>
          <w:szCs w:val="22"/>
        </w:rPr>
        <w:t>시스템반도체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바이오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의약품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위탁개발생산</w:t>
      </w:r>
      <w:r>
        <w:rPr>
          <w:rFonts w:ascii="맑은 고딕" w:eastAsia="맑은 고딕" w:hAnsi="맑은 고딕" w:cs="맑은 고딕"/>
          <w:sz w:val="22"/>
          <w:szCs w:val="22"/>
        </w:rPr>
        <w:t xml:space="preserve">(CDMO)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신규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영역으로의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다각화를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적극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추진하고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이러한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재무성과와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장기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사이의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균형을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유지하기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선택으로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해석된다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2"/>
        <w:spacing w:before="300" w:after="150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2.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글로벌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시장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지위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확보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및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경쟁우위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유지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삼성전자의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번째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핵심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시장에서의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선도적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유지</w:t>
      </w:r>
      <w:r>
        <w:rPr>
          <w:rFonts w:ascii="맑은 고딕" w:eastAsia="맑은 고딕" w:hAnsi="맑은 고딕" w:cs="맑은 고딕"/>
          <w:sz w:val="22"/>
          <w:szCs w:val="22"/>
        </w:rPr>
        <w:t>·</w:t>
      </w:r>
      <w:r>
        <w:rPr>
          <w:rFonts w:ascii="맑은 고딕" w:eastAsia="맑은 고딕" w:hAnsi="맑은 고딕" w:cs="맑은 고딕"/>
          <w:sz w:val="22"/>
          <w:szCs w:val="22"/>
        </w:rPr>
        <w:t>강화하는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것이다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DRAM, NAND </w:t>
      </w:r>
      <w:r>
        <w:rPr>
          <w:rFonts w:ascii="맑은 고딕" w:eastAsia="맑은 고딕" w:hAnsi="맑은 고딕" w:cs="맑은 고딕"/>
          <w:sz w:val="22"/>
          <w:szCs w:val="22"/>
        </w:rPr>
        <w:t>플래시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메모리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분야에서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다년간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세계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시장점유율</w:t>
      </w:r>
      <w:r>
        <w:rPr>
          <w:rFonts w:ascii="맑은 고딕" w:eastAsia="맑은 고딕" w:hAnsi="맑은 고딕" w:cs="맑은 고딕"/>
          <w:sz w:val="22"/>
          <w:szCs w:val="22"/>
        </w:rPr>
        <w:t xml:space="preserve"> 1</w:t>
      </w:r>
      <w:r>
        <w:rPr>
          <w:rFonts w:ascii="맑은 고딕" w:eastAsia="맑은 고딕" w:hAnsi="맑은 고딕" w:cs="맑은 고딕"/>
          <w:sz w:val="22"/>
          <w:szCs w:val="22"/>
        </w:rPr>
        <w:t>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유지하고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있으며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스마트폰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시장에서도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 Apple, Xiaomi </w:t>
      </w:r>
      <w:r>
        <w:rPr>
          <w:rFonts w:ascii="맑은 고딕" w:eastAsia="맑은 고딕" w:hAnsi="맑은 고딕" w:cs="맑은 고딕"/>
          <w:sz w:val="22"/>
          <w:szCs w:val="22"/>
        </w:rPr>
        <w:t>등과의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치열한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속에서도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상위권을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유지하고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포터</w:t>
      </w:r>
      <w:r>
        <w:rPr>
          <w:rFonts w:ascii="맑은 고딕" w:eastAsia="맑은 고딕" w:hAnsi="맑은 고딕" w:cs="맑은 고딕"/>
          <w:sz w:val="22"/>
          <w:szCs w:val="22"/>
        </w:rPr>
        <w:t>(Porter, 1985)</w:t>
      </w:r>
      <w:r>
        <w:rPr>
          <w:rFonts w:ascii="맑은 고딕" w:eastAsia="맑은 고딕" w:hAnsi="맑은 고딕" w:cs="맑은 고딕"/>
          <w:sz w:val="22"/>
          <w:szCs w:val="22"/>
        </w:rPr>
        <w:t>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경쟁우위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이론에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따르면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기업은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우위</w:t>
      </w:r>
      <w:r>
        <w:rPr>
          <w:rFonts w:ascii="맑은 고딕" w:eastAsia="맑은 고딕" w:hAnsi="맑은 고딕" w:cs="맑은 고딕"/>
          <w:sz w:val="22"/>
          <w:szCs w:val="22"/>
        </w:rPr>
        <w:t xml:space="preserve">(cost leadership) </w:t>
      </w:r>
      <w:r>
        <w:rPr>
          <w:rFonts w:ascii="맑은 고딕" w:eastAsia="맑은 고딕" w:hAnsi="맑은 고딕" w:cs="맑은 고딕"/>
          <w:sz w:val="22"/>
          <w:szCs w:val="22"/>
        </w:rPr>
        <w:t>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차별화</w:t>
      </w:r>
      <w:r>
        <w:rPr>
          <w:rFonts w:ascii="맑은 고딕" w:eastAsia="맑은 고딕" w:hAnsi="맑은 고딕" w:cs="맑은 고딕"/>
          <w:sz w:val="22"/>
          <w:szCs w:val="22"/>
        </w:rPr>
        <w:t>(differentiati</w:t>
      </w:r>
      <w:r>
        <w:rPr>
          <w:rFonts w:ascii="맑은 고딕" w:eastAsia="맑은 고딕" w:hAnsi="맑은 고딕" w:cs="맑은 고딕"/>
          <w:sz w:val="22"/>
          <w:szCs w:val="22"/>
        </w:rPr>
        <w:t xml:space="preserve">on) </w:t>
      </w:r>
      <w:r>
        <w:rPr>
          <w:rFonts w:ascii="맑은 고딕" w:eastAsia="맑은 고딕" w:hAnsi="맑은 고딕" w:cs="맑은 고딕"/>
          <w:sz w:val="22"/>
          <w:szCs w:val="22"/>
        </w:rPr>
        <w:t>전략을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경쟁우위를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획득할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동시에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구사하는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이른바</w:t>
      </w:r>
      <w:r>
        <w:rPr>
          <w:rFonts w:ascii="맑은 고딕" w:eastAsia="맑은 고딕" w:hAnsi="맑은 고딕" w:cs="맑은 고딕"/>
          <w:sz w:val="22"/>
          <w:szCs w:val="22"/>
        </w:rPr>
        <w:t xml:space="preserve"> '</w:t>
      </w:r>
      <w:r>
        <w:rPr>
          <w:rFonts w:ascii="맑은 고딕" w:eastAsia="맑은 고딕" w:hAnsi="맑은 고딕" w:cs="맑은 고딕"/>
          <w:sz w:val="22"/>
          <w:szCs w:val="22"/>
        </w:rPr>
        <w:t>혼합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</w:t>
      </w:r>
      <w:r>
        <w:rPr>
          <w:rFonts w:ascii="맑은 고딕" w:eastAsia="맑은 고딕" w:hAnsi="맑은 고딕" w:cs="맑은 고딕"/>
          <w:sz w:val="22"/>
          <w:szCs w:val="22"/>
        </w:rPr>
        <w:t>(hybrid strategy)'</w:t>
      </w:r>
      <w:r>
        <w:rPr>
          <w:rFonts w:ascii="맑은 고딕" w:eastAsia="맑은 고딕" w:hAnsi="맑은 고딕" w:cs="맑은 고딕"/>
          <w:sz w:val="22"/>
          <w:szCs w:val="22"/>
        </w:rPr>
        <w:t>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실행하고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즉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세계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최대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규모의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설비를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경쟁력을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확보하면서도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폴더블폰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·QLED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첨단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제품군을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차별화를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추구한다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또한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파운드리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사업부를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TSMC</w:t>
      </w:r>
      <w:r>
        <w:rPr>
          <w:rFonts w:ascii="맑은 고딕" w:eastAsia="맑은 고딕" w:hAnsi="맑은 고딕" w:cs="맑은 고딕"/>
          <w:sz w:val="22"/>
          <w:szCs w:val="22"/>
        </w:rPr>
        <w:t>와의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기술력과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공정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다양성으로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차별화를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꾀하고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있으며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이를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미국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텍사스주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테일러시</w:t>
      </w:r>
      <w:r>
        <w:rPr>
          <w:rFonts w:ascii="맑은 고딕" w:eastAsia="맑은 고딕" w:hAnsi="맑은 고딕" w:cs="맑은 고딕"/>
          <w:sz w:val="22"/>
          <w:szCs w:val="22"/>
        </w:rPr>
        <w:t>에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대규모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공장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건설을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추진하는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지정학적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리스크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병행하고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2"/>
        <w:spacing w:before="300" w:after="150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3.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기술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혁신과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연구개발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(R&amp;D)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목적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핵심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축으로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위치시키고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 2023</w:t>
      </w:r>
      <w:r>
        <w:rPr>
          <w:rFonts w:ascii="맑은 고딕" w:eastAsia="맑은 고딕" w:hAnsi="맑은 고딕" w:cs="맑은 고딕"/>
          <w:sz w:val="22"/>
          <w:szCs w:val="22"/>
        </w:rPr>
        <w:t>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연구개발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투자액은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약</w:t>
      </w:r>
      <w:r>
        <w:rPr>
          <w:rFonts w:ascii="맑은 고딕" w:eastAsia="맑은 고딕" w:hAnsi="맑은 고딕" w:cs="맑은 고딕"/>
          <w:sz w:val="22"/>
          <w:szCs w:val="22"/>
        </w:rPr>
        <w:t xml:space="preserve"> 28</w:t>
      </w:r>
      <w:r>
        <w:rPr>
          <w:rFonts w:ascii="맑은 고딕" w:eastAsia="맑은 고딕" w:hAnsi="맑은 고딕" w:cs="맑은 고딕"/>
          <w:sz w:val="22"/>
          <w:szCs w:val="22"/>
        </w:rPr>
        <w:t>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매출액의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10% </w:t>
      </w:r>
      <w:r>
        <w:rPr>
          <w:rFonts w:ascii="맑은 고딕" w:eastAsia="맑은 고딕" w:hAnsi="맑은 고딕" w:cs="맑은 고딕"/>
          <w:sz w:val="22"/>
          <w:szCs w:val="22"/>
        </w:rPr>
        <w:t>이상을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R&amp;D</w:t>
      </w:r>
      <w:r>
        <w:rPr>
          <w:rFonts w:ascii="맑은 고딕" w:eastAsia="맑은 고딕" w:hAnsi="맑은 고딕" w:cs="맑은 고딕"/>
          <w:sz w:val="22"/>
          <w:szCs w:val="22"/>
        </w:rPr>
        <w:t>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투입하고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이는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중에서도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높은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수준의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R&amp;D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집중도로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평가받는다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또한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국내외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연구소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네트워크</w:t>
      </w:r>
      <w:r>
        <w:rPr>
          <w:rFonts w:ascii="맑은 고딕" w:eastAsia="맑은 고딕" w:hAnsi="맑은 고딕" w:cs="맑은 고딕"/>
          <w:sz w:val="22"/>
          <w:szCs w:val="22"/>
        </w:rPr>
        <w:t>(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삼성리서치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>)</w:t>
      </w:r>
      <w:r>
        <w:rPr>
          <w:rFonts w:ascii="맑은 고딕" w:eastAsia="맑은 고딕" w:hAnsi="맑은 고딕" w:cs="맑은 고딕"/>
          <w:sz w:val="22"/>
          <w:szCs w:val="22"/>
        </w:rPr>
        <w:t>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AI, 6G </w:t>
      </w:r>
      <w:r>
        <w:rPr>
          <w:rFonts w:ascii="맑은 고딕" w:eastAsia="맑은 고딕" w:hAnsi="맑은 고딕" w:cs="맑은 고딕"/>
          <w:sz w:val="22"/>
          <w:szCs w:val="22"/>
        </w:rPr>
        <w:t>통신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차세대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메모리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미래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원천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선제적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주력하고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단순히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신제품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개발에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그치지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않는다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리더십을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확보함으로써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특허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포트폴리오를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이를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경쟁사에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진입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장벽을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구축하는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의미도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내포하고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매년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건의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국제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특허를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출원하며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지식재산권</w:t>
      </w:r>
      <w:r>
        <w:rPr>
          <w:rFonts w:ascii="맑은 고딕" w:eastAsia="맑은 고딕" w:hAnsi="맑은 고딕" w:cs="맑은 고딕"/>
          <w:sz w:val="22"/>
          <w:szCs w:val="22"/>
        </w:rPr>
        <w:t xml:space="preserve">(IP) </w:t>
      </w:r>
      <w:r>
        <w:rPr>
          <w:rFonts w:ascii="맑은 고딕" w:eastAsia="맑은 고딕" w:hAnsi="맑은 고딕" w:cs="맑은 고딕"/>
          <w:sz w:val="22"/>
          <w:szCs w:val="22"/>
        </w:rPr>
        <w:t>기반의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경쟁우위를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특히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차세대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메모리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(HBM, PIM),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온디바이스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AI,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가베지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없는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칩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설계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첨단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분야에서의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중장기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핵심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동력으로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기능한다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2"/>
        <w:spacing w:before="300" w:after="150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lastRenderedPageBreak/>
        <w:t xml:space="preserve">4.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이해관계자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가치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창출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현대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경영학에서는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이익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중심의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전통적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관점을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넘어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다양한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이해관계자</w:t>
      </w:r>
      <w:r>
        <w:rPr>
          <w:rFonts w:ascii="맑은 고딕" w:eastAsia="맑은 고딕" w:hAnsi="맑은 고딕" w:cs="맑은 고딕"/>
          <w:sz w:val="22"/>
          <w:szCs w:val="22"/>
        </w:rPr>
        <w:t>(stakeholder)</w:t>
      </w:r>
      <w:r>
        <w:rPr>
          <w:rFonts w:ascii="맑은 고딕" w:eastAsia="맑은 고딕" w:hAnsi="맑은 고딕" w:cs="맑은 고딕"/>
          <w:sz w:val="22"/>
          <w:szCs w:val="22"/>
        </w:rPr>
        <w:t>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동시에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창출하는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것이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핵심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목적임을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강조한다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(Freeman, 1984). </w:t>
      </w:r>
      <w:r>
        <w:rPr>
          <w:rFonts w:ascii="맑은 고딕" w:eastAsia="맑은 고딕" w:hAnsi="맑은 고딕" w:cs="맑은 고딕"/>
          <w:sz w:val="22"/>
          <w:szCs w:val="22"/>
        </w:rPr>
        <w:t>삼성전자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역시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임직원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고객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협력사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지역사회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다양한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이해관계자를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창출을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설정하고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Pr="007424A0" w:rsidRDefault="00864F14" w:rsidP="007424A0">
      <w:pPr>
        <w:spacing w:before="120" w:after="120"/>
        <w:ind w:firstLine="440"/>
        <w:rPr>
          <w:rFonts w:hint="eastAsia"/>
        </w:rPr>
      </w:pPr>
      <w:r>
        <w:rPr>
          <w:rFonts w:ascii="맑은 고딕" w:eastAsia="맑은 고딕" w:hAnsi="맑은 고딕" w:cs="맑은 고딕"/>
          <w:sz w:val="22"/>
          <w:szCs w:val="22"/>
        </w:rPr>
        <w:t>주주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측면에서는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배당금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지급과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자사</w:t>
      </w:r>
      <w:r>
        <w:rPr>
          <w:rFonts w:ascii="맑은 고딕" w:eastAsia="맑은 고딕" w:hAnsi="맑은 고딕" w:cs="맑은 고딕"/>
          <w:sz w:val="22"/>
          <w:szCs w:val="22"/>
        </w:rPr>
        <w:t>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매입을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환원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정책을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꾸준히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실행하고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있으며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임직원에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대해서는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보상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체계와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역량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개발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기회를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제공한다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고객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측면에서는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품질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애프터서비스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고객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만족도를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제고하고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있으며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협력사와의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상생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협력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프로그램을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공급망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전체의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가능성을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높이는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기여하고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</w:p>
    <w:p w:rsidR="00C13485" w:rsidRDefault="00864F14" w:rsidP="007424A0">
      <w:pPr>
        <w:pStyle w:val="2"/>
        <w:spacing w:before="300" w:after="150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5.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사회적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책임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(CSR)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과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ESG 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경영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사회적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책임</w:t>
      </w:r>
      <w:r>
        <w:rPr>
          <w:rFonts w:ascii="맑은 고딕" w:eastAsia="맑은 고딕" w:hAnsi="맑은 고딕" w:cs="맑은 고딕"/>
          <w:sz w:val="22"/>
          <w:szCs w:val="22"/>
        </w:rPr>
        <w:t>(Corporate Social Responsibility, CSR)</w:t>
      </w:r>
      <w:r>
        <w:rPr>
          <w:rFonts w:ascii="맑은 고딕" w:eastAsia="맑은 고딕" w:hAnsi="맑은 고딕" w:cs="맑은 고딕"/>
          <w:sz w:val="22"/>
          <w:szCs w:val="22"/>
        </w:rPr>
        <w:t>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환경</w:t>
      </w:r>
      <w:r>
        <w:rPr>
          <w:rFonts w:ascii="맑은 고딕" w:eastAsia="맑은 고딕" w:hAnsi="맑은 고딕" w:cs="맑은 고딕"/>
          <w:sz w:val="22"/>
          <w:szCs w:val="22"/>
        </w:rPr>
        <w:t>·</w:t>
      </w:r>
      <w:r>
        <w:rPr>
          <w:rFonts w:ascii="맑은 고딕" w:eastAsia="맑은 고딕" w:hAnsi="맑은 고딕" w:cs="맑은 고딕"/>
          <w:sz w:val="22"/>
          <w:szCs w:val="22"/>
        </w:rPr>
        <w:t>사회</w:t>
      </w:r>
      <w:r>
        <w:rPr>
          <w:rFonts w:ascii="맑은 고딕" w:eastAsia="맑은 고딕" w:hAnsi="맑은 고딕" w:cs="맑은 고딕"/>
          <w:sz w:val="22"/>
          <w:szCs w:val="22"/>
        </w:rPr>
        <w:t>·</w:t>
      </w:r>
      <w:r>
        <w:rPr>
          <w:rFonts w:ascii="맑은 고딕" w:eastAsia="맑은 고딕" w:hAnsi="맑은 고딕" w:cs="맑은 고딕"/>
          <w:sz w:val="22"/>
          <w:szCs w:val="22"/>
        </w:rPr>
        <w:t>지배구조</w:t>
      </w:r>
      <w:r>
        <w:rPr>
          <w:rFonts w:ascii="맑은 고딕" w:eastAsia="맑은 고딕" w:hAnsi="맑은 고딕" w:cs="맑은 고딕"/>
          <w:sz w:val="22"/>
          <w:szCs w:val="22"/>
        </w:rPr>
        <w:t xml:space="preserve">(ESG: Environmental, Social, Governance) </w:t>
      </w:r>
      <w:r>
        <w:rPr>
          <w:rFonts w:ascii="맑은 고딕" w:eastAsia="맑은 고딕" w:hAnsi="맑은 고딕" w:cs="맑은 고딕"/>
          <w:sz w:val="22"/>
          <w:szCs w:val="22"/>
        </w:rPr>
        <w:t>경영을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핵심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통합하고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이는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단순한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이미지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차원을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넘어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투자자와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소비자의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요구에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부응하고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장기적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보호하는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전략적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판단에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근거한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것이다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환경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분야에서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2050</w:t>
      </w:r>
      <w:r>
        <w:rPr>
          <w:rFonts w:ascii="맑은 고딕" w:eastAsia="맑은 고딕" w:hAnsi="맑은 고딕" w:cs="맑은 고딕"/>
          <w:sz w:val="22"/>
          <w:szCs w:val="22"/>
        </w:rPr>
        <w:t>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탄소</w:t>
      </w:r>
      <w:r>
        <w:rPr>
          <w:rFonts w:ascii="맑은 고딕" w:eastAsia="맑은 고딕" w:hAnsi="맑은 고딕" w:cs="맑은 고딕"/>
          <w:sz w:val="22"/>
          <w:szCs w:val="22"/>
        </w:rPr>
        <w:t>중립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달성을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목표로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재생에너지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전환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온실가스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감축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친환경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제품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설계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추진하고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사회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분야에서는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디지털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교육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프로그램인</w:t>
      </w:r>
      <w:r>
        <w:rPr>
          <w:rFonts w:ascii="맑은 고딕" w:eastAsia="맑은 고딕" w:hAnsi="맑은 고딕" w:cs="맑은 고딕"/>
          <w:sz w:val="22"/>
          <w:szCs w:val="22"/>
        </w:rPr>
        <w:t xml:space="preserve"> '</w:t>
      </w:r>
      <w:r>
        <w:rPr>
          <w:rFonts w:ascii="맑은 고딕" w:eastAsia="맑은 고딕" w:hAnsi="맑은 고딕" w:cs="맑은 고딕"/>
          <w:sz w:val="22"/>
          <w:szCs w:val="22"/>
        </w:rPr>
        <w:t>삼성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스마트스쿨</w:t>
      </w:r>
      <w:r>
        <w:rPr>
          <w:rFonts w:ascii="맑은 고딕" w:eastAsia="맑은 고딕" w:hAnsi="맑은 고딕" w:cs="맑은 고딕"/>
          <w:sz w:val="22"/>
          <w:szCs w:val="22"/>
        </w:rPr>
        <w:t xml:space="preserve">', </w:t>
      </w:r>
      <w:r>
        <w:rPr>
          <w:rFonts w:ascii="맑은 고딕" w:eastAsia="맑은 고딕" w:hAnsi="맑은 고딕" w:cs="맑은 고딕"/>
          <w:sz w:val="22"/>
          <w:szCs w:val="22"/>
        </w:rPr>
        <w:t>청년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취업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역량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사업인</w:t>
      </w:r>
      <w:r>
        <w:rPr>
          <w:rFonts w:ascii="맑은 고딕" w:eastAsia="맑은 고딕" w:hAnsi="맑은 고딕" w:cs="맑은 고딕"/>
          <w:sz w:val="22"/>
          <w:szCs w:val="22"/>
        </w:rPr>
        <w:t xml:space="preserve"> '</w:t>
      </w:r>
      <w:r>
        <w:rPr>
          <w:rFonts w:ascii="맑은 고딕" w:eastAsia="맑은 고딕" w:hAnsi="맑은 고딕" w:cs="맑은 고딕"/>
          <w:sz w:val="22"/>
          <w:szCs w:val="22"/>
        </w:rPr>
        <w:t>삼성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청년</w:t>
      </w:r>
      <w:r>
        <w:rPr>
          <w:rFonts w:ascii="맑은 고딕" w:eastAsia="맑은 고딕" w:hAnsi="맑은 고딕" w:cs="맑은 고딕"/>
          <w:sz w:val="22"/>
          <w:szCs w:val="22"/>
        </w:rPr>
        <w:t xml:space="preserve"> SW </w:t>
      </w:r>
      <w:r>
        <w:rPr>
          <w:rFonts w:ascii="맑은 고딕" w:eastAsia="맑은 고딕" w:hAnsi="맑은 고딕" w:cs="맑은 고딕"/>
          <w:sz w:val="22"/>
          <w:szCs w:val="22"/>
        </w:rPr>
        <w:t>아카데미</w:t>
      </w:r>
      <w:r>
        <w:rPr>
          <w:rFonts w:ascii="맑은 고딕" w:eastAsia="맑은 고딕" w:hAnsi="맑은 고딕" w:cs="맑은 고딕"/>
          <w:sz w:val="22"/>
          <w:szCs w:val="22"/>
        </w:rPr>
        <w:t xml:space="preserve">(SSAFY)' </w:t>
      </w:r>
      <w:r>
        <w:rPr>
          <w:rFonts w:ascii="맑은 고딕" w:eastAsia="맑은 고딕" w:hAnsi="맑은 고딕" w:cs="맑은 고딕"/>
          <w:sz w:val="22"/>
          <w:szCs w:val="22"/>
        </w:rPr>
        <w:t>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운영하며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사회공헌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활동을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체계화하고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지배구조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측면에서는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이사회의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독립성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내부통제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시스템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고도화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준법감시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조직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운영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투명한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체계를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구축하고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이러한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ESG </w:t>
      </w:r>
      <w:r>
        <w:rPr>
          <w:rFonts w:ascii="맑은 고딕" w:eastAsia="맑은 고딕" w:hAnsi="맑은 고딕" w:cs="맑은 고딕"/>
          <w:sz w:val="22"/>
          <w:szCs w:val="22"/>
        </w:rPr>
        <w:t>경영의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강화는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기관투자자의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신뢰를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국제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환경에서의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장기적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가능성을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담보하는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중요한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기능한다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1"/>
        <w:spacing w:before="400" w:after="200"/>
      </w:pP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 xml:space="preserve">Ⅳ. </w:t>
      </w: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결론</w:t>
      </w:r>
    </w:p>
    <w:p w:rsidR="00C13485" w:rsidRDefault="00864F14" w:rsidP="007424A0">
      <w:pPr>
        <w:spacing w:before="120" w:after="120"/>
        <w:ind w:firstLine="440"/>
      </w:pPr>
      <w:r>
        <w:rPr>
          <w:rFonts w:ascii="맑은 고딕" w:eastAsia="맑은 고딕" w:hAnsi="맑은 고딕" w:cs="맑은 고딕"/>
          <w:sz w:val="22"/>
          <w:szCs w:val="22"/>
        </w:rPr>
        <w:t>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보고서에서는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기업경영의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다섯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차원에서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분석하였다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분석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결과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삼성전자의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단기적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극대화에서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출발하여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글로벌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경쟁우위의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유지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기술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혁신을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통한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미래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동력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다양한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이해관계자에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창출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그리고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ESG</w:t>
      </w:r>
      <w:r>
        <w:rPr>
          <w:rFonts w:ascii="맑은 고딕" w:eastAsia="맑은 고딕" w:hAnsi="맑은 고딕" w:cs="맑은 고딕"/>
          <w:sz w:val="22"/>
          <w:szCs w:val="22"/>
        </w:rPr>
        <w:t>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기반으로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가능한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경영이라는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복합적이고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상호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연계된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체계를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구성하고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있음을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확인하였다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Pr="007424A0" w:rsidRDefault="00864F14" w:rsidP="007424A0">
      <w:pPr>
        <w:spacing w:before="120" w:after="120"/>
        <w:ind w:firstLine="440"/>
        <w:rPr>
          <w:rFonts w:hint="eastAsia"/>
        </w:rPr>
      </w:pPr>
      <w:r>
        <w:rPr>
          <w:rFonts w:ascii="맑은 고딕" w:eastAsia="맑은 고딕" w:hAnsi="맑은 고딕" w:cs="맑은 고딕"/>
          <w:sz w:val="22"/>
          <w:szCs w:val="22"/>
        </w:rPr>
        <w:t>국제경영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환경에서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내외부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환경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변화에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따라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지속적으로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진화한다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삼성전자의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사례는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기업이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단일한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아닌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재무적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성과와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비재무적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가치를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조화롭게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추구함으로써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장기적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2"/>
          <w:szCs w:val="22"/>
        </w:rPr>
        <w:t>경쟁우위와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사회적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정당성을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동시에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확보할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있</w:t>
      </w:r>
      <w:r>
        <w:rPr>
          <w:rFonts w:ascii="맑은 고딕" w:eastAsia="맑은 고딕" w:hAnsi="맑은 고딕" w:cs="맑은 고딕"/>
          <w:sz w:val="22"/>
          <w:szCs w:val="22"/>
        </w:rPr>
        <w:lastRenderedPageBreak/>
        <w:t>음을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시사한다</w:t>
      </w:r>
      <w:r>
        <w:rPr>
          <w:rFonts w:ascii="맑은 고딕" w:eastAsia="맑은 고딕" w:hAnsi="맑은 고딕" w:cs="맑은 고딕"/>
          <w:sz w:val="22"/>
          <w:szCs w:val="22"/>
        </w:rPr>
        <w:t xml:space="preserve">. </w:t>
      </w:r>
      <w:r>
        <w:rPr>
          <w:rFonts w:ascii="맑은 고딕" w:eastAsia="맑은 고딕" w:hAnsi="맑은 고딕" w:cs="맑은 고딕"/>
          <w:sz w:val="22"/>
          <w:szCs w:val="22"/>
        </w:rPr>
        <w:t>향후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삼성전자가</w:t>
      </w:r>
      <w:r>
        <w:rPr>
          <w:rFonts w:ascii="맑은 고딕" w:eastAsia="맑은 고딕" w:hAnsi="맑은 고딕" w:cs="맑은 고딕"/>
          <w:sz w:val="22"/>
          <w:szCs w:val="22"/>
        </w:rPr>
        <w:t xml:space="preserve"> AI </w:t>
      </w:r>
      <w:r>
        <w:rPr>
          <w:rFonts w:ascii="맑은 고딕" w:eastAsia="맑은 고딕" w:hAnsi="맑은 고딕" w:cs="맑은 고딕"/>
          <w:sz w:val="22"/>
          <w:szCs w:val="22"/>
        </w:rPr>
        <w:t>반도체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파운드리</w:t>
      </w:r>
      <w:r>
        <w:rPr>
          <w:rFonts w:ascii="맑은 고딕" w:eastAsia="맑은 고딕" w:hAnsi="맑은 고딕" w:cs="맑은 고딕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</w:rPr>
        <w:t>바이오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등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신사업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영역에서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어떠한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경영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목적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체계를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구축하고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실행하는지는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국제경영학적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관점에서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지속적인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관찰과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연구의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대상이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될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것이다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pStyle w:val="1"/>
        <w:spacing w:before="400" w:after="200"/>
      </w:pPr>
      <w:r>
        <w:rPr>
          <w:rFonts w:ascii="맑은 고딕" w:eastAsia="맑은 고딕" w:hAnsi="맑은 고딕" w:cs="맑은 고딕"/>
          <w:b/>
          <w:bCs/>
          <w:color w:val="1F3864"/>
          <w:sz w:val="28"/>
          <w:szCs w:val="28"/>
        </w:rPr>
        <w:t>참고문헌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삼성전자</w:t>
      </w:r>
      <w:r>
        <w:rPr>
          <w:rFonts w:ascii="맑은 고딕" w:eastAsia="맑은 고딕" w:hAnsi="맑은 고딕" w:cs="맑은 고딕"/>
        </w:rPr>
        <w:t xml:space="preserve"> (2023). 2023 </w:t>
      </w:r>
      <w:r>
        <w:rPr>
          <w:rFonts w:ascii="맑은 고딕" w:eastAsia="맑은 고딕" w:hAnsi="맑은 고딕" w:cs="맑은 고딕"/>
        </w:rPr>
        <w:t>지속가능경영보고서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/>
        </w:rPr>
        <w:t>삼성전자주식회사</w:t>
      </w:r>
      <w:r>
        <w:rPr>
          <w:rFonts w:ascii="맑은 고딕" w:eastAsia="맑은 고딕" w:hAnsi="맑은 고딕" w:cs="맑은 고딕"/>
        </w:rPr>
        <w:t>.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삼성전자</w:t>
      </w:r>
      <w:r>
        <w:rPr>
          <w:rFonts w:ascii="맑은 고딕" w:eastAsia="맑은 고딕" w:hAnsi="맑은 고딕" w:cs="맑은 고딕"/>
        </w:rPr>
        <w:t xml:space="preserve"> (2023). 2023 </w:t>
      </w:r>
      <w:r>
        <w:rPr>
          <w:rFonts w:ascii="맑은 고딕" w:eastAsia="맑은 고딕" w:hAnsi="맑은 고딕" w:cs="맑은 고딕"/>
        </w:rPr>
        <w:t>사업보고서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/>
        </w:rPr>
        <w:t>금융감독원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전자공시시</w:t>
      </w:r>
      <w:r>
        <w:rPr>
          <w:rFonts w:ascii="맑은 고딕" w:eastAsia="맑은 고딕" w:hAnsi="맑은 고딕" w:cs="맑은 고딕"/>
        </w:rPr>
        <w:t>스템</w:t>
      </w:r>
      <w:r>
        <w:rPr>
          <w:rFonts w:ascii="맑은 고딕" w:eastAsia="맑은 고딕" w:hAnsi="맑은 고딕" w:cs="맑은 고딕"/>
        </w:rPr>
        <w:t>(DART).</w:t>
      </w:r>
    </w:p>
    <w:p w:rsidR="00C13485" w:rsidRDefault="00864F14" w:rsidP="007424A0">
      <w:pPr>
        <w:spacing w:before="100" w:after="100"/>
        <w:ind w:left="400" w:hanging="400"/>
      </w:pPr>
      <w:proofErr w:type="spellStart"/>
      <w:r>
        <w:rPr>
          <w:rFonts w:ascii="맑은 고딕" w:eastAsia="맑은 고딕" w:hAnsi="맑은 고딕" w:cs="맑은 고딕"/>
        </w:rPr>
        <w:t>이장로</w:t>
      </w:r>
      <w:proofErr w:type="spellEnd"/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/>
        </w:rPr>
        <w:t>정기만</w:t>
      </w:r>
      <w:r>
        <w:rPr>
          <w:rFonts w:ascii="맑은 고딕" w:eastAsia="맑은 고딕" w:hAnsi="맑은 고딕" w:cs="맑은 고딕"/>
        </w:rPr>
        <w:t xml:space="preserve"> (2021). </w:t>
      </w:r>
      <w:proofErr w:type="spellStart"/>
      <w:r>
        <w:rPr>
          <w:rFonts w:ascii="맑은 고딕" w:eastAsia="맑은 고딕" w:hAnsi="맑은 고딕" w:cs="맑은 고딕"/>
        </w:rPr>
        <w:t>국제경영론</w:t>
      </w:r>
      <w:proofErr w:type="spellEnd"/>
      <w:r>
        <w:rPr>
          <w:rFonts w:ascii="맑은 고딕" w:eastAsia="맑은 고딕" w:hAnsi="맑은 고딕" w:cs="맑은 고딕"/>
        </w:rPr>
        <w:t xml:space="preserve"> (</w:t>
      </w:r>
      <w:r>
        <w:rPr>
          <w:rFonts w:ascii="맑은 고딕" w:eastAsia="맑은 고딕" w:hAnsi="맑은 고딕" w:cs="맑은 고딕"/>
        </w:rPr>
        <w:t>제</w:t>
      </w:r>
      <w:r>
        <w:rPr>
          <w:rFonts w:ascii="맑은 고딕" w:eastAsia="맑은 고딕" w:hAnsi="맑은 고딕" w:cs="맑은 고딕"/>
        </w:rPr>
        <w:t>5</w:t>
      </w:r>
      <w:r>
        <w:rPr>
          <w:rFonts w:ascii="맑은 고딕" w:eastAsia="맑은 고딕" w:hAnsi="맑은 고딕" w:cs="맑은 고딕"/>
        </w:rPr>
        <w:t>판</w:t>
      </w:r>
      <w:r>
        <w:rPr>
          <w:rFonts w:ascii="맑은 고딕" w:eastAsia="맑은 고딕" w:hAnsi="맑은 고딕" w:cs="맑은 고딕"/>
        </w:rPr>
        <w:t xml:space="preserve">). </w:t>
      </w:r>
      <w:proofErr w:type="spellStart"/>
      <w:r>
        <w:rPr>
          <w:rFonts w:ascii="맑은 고딕" w:eastAsia="맑은 고딕" w:hAnsi="맑은 고딕" w:cs="맑은 고딕"/>
        </w:rPr>
        <w:t>무역경영사</w:t>
      </w:r>
      <w:proofErr w:type="spellEnd"/>
      <w:r>
        <w:rPr>
          <w:rFonts w:ascii="맑은 고딕" w:eastAsia="맑은 고딕" w:hAnsi="맑은 고딕" w:cs="맑은 고딕"/>
        </w:rPr>
        <w:t>.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장세진</w:t>
      </w:r>
      <w:r>
        <w:rPr>
          <w:rFonts w:ascii="맑은 고딕" w:eastAsia="맑은 고딕" w:hAnsi="맑은 고딕" w:cs="맑은 고딕"/>
        </w:rPr>
        <w:t xml:space="preserve"> (2022). </w:t>
      </w:r>
      <w:r>
        <w:rPr>
          <w:rFonts w:ascii="맑은 고딕" w:eastAsia="맑은 고딕" w:hAnsi="맑은 고딕" w:cs="맑은 고딕"/>
        </w:rPr>
        <w:t>글로벌경영전략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/>
        </w:rPr>
        <w:t>박영사</w:t>
      </w:r>
      <w:r>
        <w:rPr>
          <w:rFonts w:ascii="맑은 고딕" w:eastAsia="맑은 고딕" w:hAnsi="맑은 고딕" w:cs="맑은 고딕"/>
        </w:rPr>
        <w:t>.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Freeman, R. E. (1984). Strategic management: A stakeholder approach. Pitman Publishing.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Porter, M. E. (1985). Competitive advantage: Creating and sustaining superior performance. Free Press.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김민정</w:t>
      </w:r>
      <w:r>
        <w:rPr>
          <w:rFonts w:ascii="맑은 고딕" w:eastAsia="맑은 고딕" w:hAnsi="맑은 고딕" w:cs="맑은 고딕"/>
        </w:rPr>
        <w:t xml:space="preserve"> (2022). </w:t>
      </w:r>
      <w:r>
        <w:rPr>
          <w:rFonts w:ascii="맑은 고딕" w:eastAsia="맑은 고딕" w:hAnsi="맑은 고딕" w:cs="맑은 고딕"/>
        </w:rPr>
        <w:t>삼성전자의</w:t>
      </w:r>
      <w:r>
        <w:rPr>
          <w:rFonts w:ascii="맑은 고딕" w:eastAsia="맑은 고딕" w:hAnsi="맑은 고딕" w:cs="맑은 고딕"/>
        </w:rPr>
        <w:t xml:space="preserve"> ESG </w:t>
      </w:r>
      <w:r>
        <w:rPr>
          <w:rFonts w:ascii="맑은 고딕" w:eastAsia="맑은 고딕" w:hAnsi="맑은 고딕" w:cs="맑은 고딕"/>
        </w:rPr>
        <w:t>경영전략과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기업가치에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관한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연구</w:t>
      </w:r>
      <w:r>
        <w:rPr>
          <w:rFonts w:ascii="맑은 고딕" w:eastAsia="맑은 고딕" w:hAnsi="맑은 고딕" w:cs="맑은 고딕"/>
        </w:rPr>
        <w:t xml:space="preserve">. </w:t>
      </w:r>
      <w:proofErr w:type="spellStart"/>
      <w:r>
        <w:rPr>
          <w:rFonts w:ascii="맑은 고딕" w:eastAsia="맑은 고딕" w:hAnsi="맑은 고딕" w:cs="맑은 고딕"/>
        </w:rPr>
        <w:t>경영학연구</w:t>
      </w:r>
      <w:proofErr w:type="spellEnd"/>
      <w:r>
        <w:rPr>
          <w:rFonts w:ascii="맑은 고딕" w:eastAsia="맑은 고딕" w:hAnsi="맑은 고딕" w:cs="맑은 고딕"/>
        </w:rPr>
        <w:t>, 51(3), 789–815.</w:t>
      </w:r>
    </w:p>
    <w:p w:rsidR="00C13485" w:rsidRDefault="00864F14" w:rsidP="007424A0">
      <w:pPr>
        <w:spacing w:before="100" w:after="100"/>
        <w:ind w:left="400" w:hanging="400"/>
      </w:pPr>
      <w:r>
        <w:rPr>
          <w:rFonts w:ascii="맑은 고딕" w:eastAsia="맑은 고딕" w:hAnsi="맑은 고딕" w:cs="맑은 고딕"/>
        </w:rPr>
        <w:t>박진우</w:t>
      </w:r>
      <w:r>
        <w:rPr>
          <w:rFonts w:ascii="맑은 고딕" w:eastAsia="맑은 고딕" w:hAnsi="맑은 고딕" w:cs="맑은 고딕"/>
        </w:rPr>
        <w:t xml:space="preserve"> (2021). </w:t>
      </w:r>
      <w:r>
        <w:rPr>
          <w:rFonts w:ascii="맑은 고딕" w:eastAsia="맑은 고딕" w:hAnsi="맑은 고딕" w:cs="맑은 고딕"/>
        </w:rPr>
        <w:t>한국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대기업의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이해관계자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경영과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기업성과</w:t>
      </w:r>
      <w:r>
        <w:rPr>
          <w:rFonts w:ascii="맑은 고딕" w:eastAsia="맑은 고딕" w:hAnsi="맑은 고딕" w:cs="맑은 고딕"/>
        </w:rPr>
        <w:t xml:space="preserve">: </w:t>
      </w:r>
      <w:r>
        <w:rPr>
          <w:rFonts w:ascii="맑은 고딕" w:eastAsia="맑은 고딕" w:hAnsi="맑은 고딕" w:cs="맑은 고딕"/>
        </w:rPr>
        <w:t>삼성전자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사례를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중심으로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/>
        </w:rPr>
        <w:t>전략경영연구</w:t>
      </w:r>
      <w:r>
        <w:rPr>
          <w:rFonts w:ascii="맑은 고딕" w:eastAsia="맑은 고딕" w:hAnsi="맑은 고딕" w:cs="맑은 고딕"/>
        </w:rPr>
        <w:t>, 24(2), 45–72.</w:t>
      </w:r>
    </w:p>
    <w:p w:rsidR="00C13485" w:rsidRDefault="00864F14" w:rsidP="007424A0">
      <w:pPr>
        <w:spacing w:before="300" w:after="200"/>
        <w:jc w:val="center"/>
      </w:pPr>
      <w:r>
        <w:rPr>
          <w:rFonts w:ascii="맑은 고딕" w:eastAsia="맑은 고딕" w:hAnsi="맑은 고딕" w:cs="맑은 고딕"/>
          <w:b/>
          <w:bCs/>
          <w:color w:val="C00000"/>
          <w:sz w:val="26"/>
          <w:szCs w:val="26"/>
        </w:rPr>
        <w:t>⚠</w:t>
      </w:r>
      <w:r>
        <w:rPr>
          <w:rFonts w:ascii="맑은 고딕" w:eastAsia="맑은 고딕" w:hAnsi="맑은 고딕" w:cs="맑은 고딕"/>
          <w:b/>
          <w:bCs/>
          <w:color w:val="C00000"/>
          <w:sz w:val="26"/>
          <w:szCs w:val="26"/>
        </w:rPr>
        <w:t>️</w:t>
      </w:r>
      <w:r>
        <w:rPr>
          <w:rFonts w:ascii="맑은 고딕" w:eastAsia="맑은 고딕" w:hAnsi="맑은 고딕" w:cs="맑은 고딕"/>
          <w:b/>
          <w:bCs/>
          <w:color w:val="C00000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C00000"/>
          <w:sz w:val="26"/>
          <w:szCs w:val="26"/>
        </w:rPr>
        <w:t>주의사항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</w:tblGrid>
      <w:tr w:rsidR="00C13485">
        <w:tblPrEx>
          <w:tblCellMar>
            <w:top w:w="0" w:type="dxa"/>
            <w:bottom w:w="0" w:type="dxa"/>
          </w:tblCellMar>
        </w:tblPrEx>
        <w:tc>
          <w:tcPr>
            <w:tcW w:w="8500" w:type="dxa"/>
            <w:shd w:val="clear" w:color="auto" w:fill="FFF2CC"/>
          </w:tcPr>
          <w:p w:rsidR="00C13485" w:rsidRDefault="00864F14" w:rsidP="007424A0">
            <w:pPr>
              <w:spacing w:before="100" w:after="60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본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자료는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학점은행제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과제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참고용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샘플입니다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.</w:t>
            </w:r>
          </w:p>
          <w:p w:rsidR="00C13485" w:rsidRDefault="00864F14" w:rsidP="007424A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위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학습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자료를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그대로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제출할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경우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모사율</w:t>
            </w:r>
            <w:proofErr w:type="spellEnd"/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표절률</w:t>
            </w:r>
            <w:proofErr w:type="spellEnd"/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)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로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인하여</w:t>
            </w:r>
          </w:p>
          <w:p w:rsidR="00C13485" w:rsidRDefault="00864F14" w:rsidP="007424A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성적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불이익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또는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해당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과목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0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점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처리될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수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있습니다</w:t>
            </w:r>
            <w:r>
              <w:rPr>
                <w:rFonts w:ascii="맑은 고딕" w:eastAsia="맑은 고딕" w:hAnsi="맑은 고딕" w:cs="맑은 고딕"/>
                <w:b/>
                <w:bCs/>
                <w:color w:val="C00000"/>
                <w:sz w:val="21"/>
                <w:szCs w:val="21"/>
              </w:rPr>
              <w:t>.</w:t>
            </w:r>
          </w:p>
          <w:p w:rsidR="00C13485" w:rsidRDefault="00864F14" w:rsidP="007424A0">
            <w:pPr>
              <w:spacing w:before="60" w:after="100"/>
              <w:jc w:val="center"/>
            </w:pP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반드시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본인의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언어로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수정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·</w:t>
            </w:r>
            <w:proofErr w:type="spellStart"/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재작성하여</w:t>
            </w:r>
            <w:proofErr w:type="spellEnd"/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제출하시기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바랍니다</w:t>
            </w:r>
            <w:r>
              <w:rPr>
                <w:rFonts w:ascii="맑은 고딕" w:eastAsia="맑은 고딕" w:hAnsi="맑은 고딕" w:cs="맑은 고딕"/>
                <w:sz w:val="21"/>
                <w:szCs w:val="21"/>
              </w:rPr>
              <w:t>.</w:t>
            </w:r>
          </w:p>
        </w:tc>
      </w:tr>
    </w:tbl>
    <w:p w:rsidR="00C13485" w:rsidRDefault="00C13485" w:rsidP="007424A0">
      <w:pPr>
        <w:spacing w:before="60" w:after="60"/>
      </w:pPr>
    </w:p>
    <w:p w:rsidR="00C13485" w:rsidRDefault="00864F14" w:rsidP="007424A0">
      <w:pPr>
        <w:spacing w:before="200" w:after="100"/>
        <w:jc w:val="center"/>
      </w:pPr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>📌</w:t>
      </w:r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>과제</w:t>
      </w:r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>수정이</w:t>
      </w:r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>어려우신가요</w:t>
      </w:r>
      <w:proofErr w:type="spellEnd"/>
      <w:r>
        <w:rPr>
          <w:rFonts w:ascii="맑은 고딕" w:eastAsia="맑은 고딕" w:hAnsi="맑은 고딕" w:cs="맑은 고딕"/>
          <w:b/>
          <w:bCs/>
          <w:color w:val="2E74B5"/>
          <w:sz w:val="24"/>
          <w:szCs w:val="24"/>
        </w:rPr>
        <w:t>?</w:t>
      </w:r>
    </w:p>
    <w:p w:rsidR="00C13485" w:rsidRDefault="00864F14" w:rsidP="007424A0">
      <w:pPr>
        <w:spacing w:before="80" w:after="80"/>
        <w:jc w:val="center"/>
      </w:pPr>
      <w:proofErr w:type="spellStart"/>
      <w:r>
        <w:rPr>
          <w:rFonts w:ascii="맑은 고딕" w:eastAsia="맑은 고딕" w:hAnsi="맑은 고딕" w:cs="맑은 고딕"/>
          <w:sz w:val="22"/>
          <w:szCs w:val="22"/>
        </w:rPr>
        <w:t>국민원격교육관리센터에서</w:t>
      </w:r>
      <w:proofErr w:type="spellEnd"/>
      <w:r>
        <w:rPr>
          <w:rFonts w:ascii="맑은 고딕" w:eastAsia="맑은 고딕" w:hAnsi="맑은 고딕" w:cs="맑은 고딕"/>
          <w:sz w:val="22"/>
          <w:szCs w:val="22"/>
        </w:rPr>
        <w:t xml:space="preserve"> 1:1 </w:t>
      </w:r>
      <w:r>
        <w:rPr>
          <w:rFonts w:ascii="맑은 고딕" w:eastAsia="맑은 고딕" w:hAnsi="맑은 고딕" w:cs="맑은 고딕"/>
          <w:sz w:val="22"/>
          <w:szCs w:val="22"/>
        </w:rPr>
        <w:t>과제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수정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도움을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드립니다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p w:rsidR="00C13485" w:rsidRDefault="00864F14" w:rsidP="007424A0">
      <w:pPr>
        <w:spacing w:before="60" w:after="200"/>
        <w:jc w:val="center"/>
      </w:pPr>
      <w:r>
        <w:rPr>
          <w:rFonts w:ascii="맑은 고딕" w:eastAsia="맑은 고딕" w:hAnsi="맑은 고딕" w:cs="맑은 고딕"/>
          <w:sz w:val="22"/>
          <w:szCs w:val="22"/>
        </w:rPr>
        <w:t>아래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연락처로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문의해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>주세요</w:t>
      </w:r>
      <w:r>
        <w:rPr>
          <w:rFonts w:ascii="맑은 고딕" w:eastAsia="맑은 고딕" w:hAnsi="맑은 고딕" w:cs="맑은 고딕"/>
          <w:sz w:val="22"/>
          <w:szCs w:val="22"/>
        </w:rPr>
        <w:t>.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5200"/>
      </w:tblGrid>
      <w:tr w:rsidR="00C13485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EEAF1"/>
          </w:tcPr>
          <w:p w:rsidR="00C13485" w:rsidRDefault="00864F14" w:rsidP="007424A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📞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전화</w:t>
            </w:r>
          </w:p>
        </w:tc>
        <w:tc>
          <w:tcPr>
            <w:tcW w:w="5200" w:type="dxa"/>
          </w:tcPr>
          <w:p w:rsidR="00C13485" w:rsidRDefault="00864F14" w:rsidP="007424A0">
            <w:pPr>
              <w:ind w:left="200"/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050-7878-7044</w:t>
            </w:r>
          </w:p>
        </w:tc>
      </w:tr>
      <w:tr w:rsidR="00C13485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EEAF1"/>
          </w:tcPr>
          <w:p w:rsidR="00C13485" w:rsidRDefault="00864F14" w:rsidP="007424A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💬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카카오톡</w:t>
            </w:r>
            <w:proofErr w:type="spellEnd"/>
          </w:p>
        </w:tc>
        <w:tc>
          <w:tcPr>
            <w:tcW w:w="5200" w:type="dxa"/>
          </w:tcPr>
          <w:p w:rsidR="00C13485" w:rsidRDefault="00864F14" w:rsidP="007424A0">
            <w:pPr>
              <w:ind w:left="200"/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@</w:t>
            </w:r>
            <w:proofErr w:type="spellStart"/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국민원격교육관리센터</w:t>
            </w:r>
            <w:proofErr w:type="spellEnd"/>
          </w:p>
        </w:tc>
      </w:tr>
      <w:tr w:rsidR="00C13485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EEAF1"/>
          </w:tcPr>
          <w:p w:rsidR="00C13485" w:rsidRDefault="00864F14" w:rsidP="007424A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🕐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운영시간</w:t>
            </w:r>
          </w:p>
        </w:tc>
        <w:tc>
          <w:tcPr>
            <w:tcW w:w="5200" w:type="dxa"/>
          </w:tcPr>
          <w:p w:rsidR="00C13485" w:rsidRDefault="00864F14" w:rsidP="007424A0">
            <w:pPr>
              <w:ind w:left="200"/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평일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10:00–19:00</w:t>
            </w:r>
          </w:p>
        </w:tc>
      </w:tr>
      <w:tr w:rsidR="00C13485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EEAF1"/>
          </w:tcPr>
          <w:p w:rsidR="00C13485" w:rsidRDefault="00864F14" w:rsidP="007424A0">
            <w:pPr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🌐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웹사이트</w:t>
            </w:r>
          </w:p>
        </w:tc>
        <w:tc>
          <w:tcPr>
            <w:tcW w:w="5200" w:type="dxa"/>
          </w:tcPr>
          <w:p w:rsidR="00C13485" w:rsidRDefault="00864F14" w:rsidP="007424A0">
            <w:pPr>
              <w:ind w:left="200"/>
            </w:pPr>
            <w:r>
              <w:rPr>
                <w:rFonts w:ascii="맑은 고딕" w:eastAsia="맑은 고딕" w:hAnsi="맑은 고딕" w:cs="맑은 고딕"/>
                <w:color w:val="2E74B5"/>
                <w:sz w:val="22"/>
                <w:szCs w:val="22"/>
              </w:rPr>
              <w:t>korealms.co.kr</w:t>
            </w:r>
          </w:p>
        </w:tc>
      </w:tr>
    </w:tbl>
    <w:p w:rsidR="00864F14" w:rsidRDefault="00864F14" w:rsidP="007424A0"/>
    <w:sectPr w:rsidR="00864F14">
      <w:pgSz w:w="11906" w:h="16838"/>
      <w:pgMar w:top="1440" w:right="1727" w:bottom="1440" w:left="172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450B"/>
    <w:multiLevelType w:val="hybridMultilevel"/>
    <w:tmpl w:val="0C6CEF10"/>
    <w:lvl w:ilvl="0" w:tplc="D02A5848">
      <w:start w:val="1"/>
      <w:numFmt w:val="bullet"/>
      <w:lvlText w:val="●"/>
      <w:lvlJc w:val="left"/>
      <w:pPr>
        <w:ind w:left="720" w:hanging="360"/>
      </w:pPr>
    </w:lvl>
    <w:lvl w:ilvl="1" w:tplc="5486F170">
      <w:start w:val="1"/>
      <w:numFmt w:val="bullet"/>
      <w:lvlText w:val="○"/>
      <w:lvlJc w:val="left"/>
      <w:pPr>
        <w:ind w:left="1440" w:hanging="360"/>
      </w:pPr>
    </w:lvl>
    <w:lvl w:ilvl="2" w:tplc="D4EE6726">
      <w:start w:val="1"/>
      <w:numFmt w:val="bullet"/>
      <w:lvlText w:val="■"/>
      <w:lvlJc w:val="left"/>
      <w:pPr>
        <w:ind w:left="2160" w:hanging="360"/>
      </w:pPr>
    </w:lvl>
    <w:lvl w:ilvl="3" w:tplc="8EE6A3AA">
      <w:start w:val="1"/>
      <w:numFmt w:val="bullet"/>
      <w:lvlText w:val="●"/>
      <w:lvlJc w:val="left"/>
      <w:pPr>
        <w:ind w:left="2880" w:hanging="360"/>
      </w:pPr>
    </w:lvl>
    <w:lvl w:ilvl="4" w:tplc="3FDAF2AA">
      <w:start w:val="1"/>
      <w:numFmt w:val="bullet"/>
      <w:lvlText w:val="○"/>
      <w:lvlJc w:val="left"/>
      <w:pPr>
        <w:ind w:left="3600" w:hanging="360"/>
      </w:pPr>
    </w:lvl>
    <w:lvl w:ilvl="5" w:tplc="F0B4C920">
      <w:start w:val="1"/>
      <w:numFmt w:val="bullet"/>
      <w:lvlText w:val="■"/>
      <w:lvlJc w:val="left"/>
      <w:pPr>
        <w:ind w:left="4320" w:hanging="360"/>
      </w:pPr>
    </w:lvl>
    <w:lvl w:ilvl="6" w:tplc="62A4CC38">
      <w:start w:val="1"/>
      <w:numFmt w:val="bullet"/>
      <w:lvlText w:val="●"/>
      <w:lvlJc w:val="left"/>
      <w:pPr>
        <w:ind w:left="5040" w:hanging="360"/>
      </w:pPr>
    </w:lvl>
    <w:lvl w:ilvl="7" w:tplc="23DC1D44">
      <w:start w:val="1"/>
      <w:numFmt w:val="bullet"/>
      <w:lvlText w:val="●"/>
      <w:lvlJc w:val="left"/>
      <w:pPr>
        <w:ind w:left="5760" w:hanging="360"/>
      </w:pPr>
    </w:lvl>
    <w:lvl w:ilvl="8" w:tplc="3F12DFE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85"/>
    <w:rsid w:val="007424A0"/>
    <w:rsid w:val="00864F14"/>
    <w:rsid w:val="00C1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86F7"/>
  <w15:docId w15:val="{491A69F9-E5A7-4733-996E-C5DBF901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edukmc</cp:lastModifiedBy>
  <cp:revision>3</cp:revision>
  <dcterms:created xsi:type="dcterms:W3CDTF">2026-07-20T08:55:00Z</dcterms:created>
  <dcterms:modified xsi:type="dcterms:W3CDTF">2026-07-20T09:38:00Z</dcterms:modified>
</cp:coreProperties>
</file>