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0"/>
      </w:pPr>
      <w:r>
        <w:t xml:space="preserve"/>
      </w:r>
    </w:p>
    <w:p>
      <w:pPr>
        <w:spacing w:after="200"/>
        <w:jc w:val="center"/>
      </w:pPr>
      <w:r>
        <w:rPr>
          <w:rFonts w:ascii="맑은 고딕" w:cs="맑은 고딕" w:eastAsia="맑은 고딕" w:hAnsi="맑은 고딕"/>
          <w:b/>
          <w:bCs/>
          <w:color w:val="2E4A87"/>
          <w:sz w:val="32"/>
          <w:szCs w:val="32"/>
        </w:rPr>
        <w:t xml:space="preserve">유아특수교육학</w:t>
      </w:r>
    </w:p>
    <w:p>
      <w:pPr>
        <w:spacing w:after="600"/>
        <w:jc w:val="center"/>
      </w:pPr>
      <w:r>
        <w:rPr>
          <w:rFonts w:ascii="맑은 고딕" w:cs="맑은 고딕" w:eastAsia="맑은 고딕" w:hAnsi="맑은 고딕"/>
          <w:color w:val="4472C4"/>
          <w:sz w:val="28"/>
          <w:szCs w:val="28"/>
        </w:rPr>
        <w:t xml:space="preserve">과제 보고서</w:t>
      </w:r>
    </w:p>
    <w:p>
      <w:pPr>
        <w:spacing w:after="160"/>
        <w:jc w:val="center"/>
      </w:pPr>
      <w:r>
        <w:rPr>
          <w:rFonts w:ascii="맑은 고딕" w:cs="맑은 고딕" w:eastAsia="맑은 고딕" w:hAnsi="맑은 고딕"/>
          <w:b/>
          <w:bCs/>
          <w:color w:val="1F3864"/>
          <w:sz w:val="24"/>
          <w:szCs w:val="24"/>
        </w:rPr>
        <w:t xml:space="preserve">유아의 발달장애와 관련된 현상(지적장애)을 중심으로</w:t>
      </w:r>
    </w:p>
    <w:p>
      <w:pPr>
        <w:spacing w:after="800"/>
        <w:jc w:val="center"/>
      </w:pPr>
      <w:r>
        <w:rPr>
          <w:rFonts w:ascii="맑은 고딕" w:cs="맑은 고딕" w:eastAsia="맑은 고딕" w:hAnsi="맑은 고딕"/>
          <w:color w:val="1F3864"/>
          <w:sz w:val="22"/>
          <w:szCs w:val="22"/>
        </w:rPr>
        <w:t xml:space="preserve">발달장애 유아를 위한 특수교육학적 지원체계에 관한 고찰</w:t>
      </w:r>
    </w:p>
    <w:p>
      <w:pPr>
        <w:pBdr>
          <w:bottom w:val="single" w:color="4472C4" w:sz="8" w:space="4"/>
        </w:pBdr>
        <w:spacing w:after="400"/>
      </w:pPr>
      <w:r>
        <w:rPr>
          <w:rFonts w:ascii="맑은 고딕" w:cs="맑은 고딕" w:eastAsia="맑은 고딕" w:hAnsi="맑은 고딕"/>
          <w:sz w:val="4"/>
          <w:szCs w:val="4"/>
        </w:rPr>
        <w:t xml:space="preserve"/>
      </w:r>
    </w:p>
    <w:p>
      <w:pPr>
        <w:spacing w:after="240" w:before="300"/>
        <w:jc w:val="center"/>
      </w:pPr>
      <w:r>
        <w:rPr>
          <w:rFonts w:ascii="맑은 고딕" w:cs="맑은 고딕" w:eastAsia="맑은 고딕" w:hAnsi="맑은 고딕"/>
          <w:b/>
          <w:bCs/>
          <w:color w:val="2E4A87"/>
          <w:sz w:val="26"/>
          <w:szCs w:val="26"/>
        </w:rPr>
        <w:t xml:space="preserve">목   차</w:t>
      </w:r>
    </w:p>
    <w:p>
      <w:pPr>
        <w:spacing w:after="80"/>
      </w:pPr>
      <w:r>
        <w:rPr>
          <w:rFonts w:ascii="맑은 고딕" w:cs="맑은 고딕" w:eastAsia="맑은 고딕" w:hAnsi="맑은 고딕"/>
          <w:sz w:val="22"/>
          <w:szCs w:val="22"/>
        </w:rPr>
        <w:t xml:space="preserve">Ⅰ. 서론</w:t>
      </w:r>
      <w:r>
        <w:rPr>
          <w:rFonts w:ascii="맑은 고딕" w:cs="맑은 고딕" w:eastAsia="맑은 고딕" w:hAnsi="맑은 고딕"/>
          <w:sz w:val="22"/>
          <w:szCs w:val="22"/>
        </w:rPr>
        <w:ptab w:alignment="right" w:relativeTo="margin" w:leader="dot"/>
        <w:t xml:space="preserve">2쪽</w:t>
      </w:r>
    </w:p>
    <w:p>
      <w:pPr>
        <w:spacing w:after="80"/>
      </w:pPr>
      <w:r>
        <w:rPr>
          <w:rFonts w:ascii="맑은 고딕" w:cs="맑은 고딕" w:eastAsia="맑은 고딕" w:hAnsi="맑은 고딕"/>
          <w:sz w:val="22"/>
          <w:szCs w:val="22"/>
        </w:rPr>
        <w:t xml:space="preserve">Ⅱ. 본론</w:t>
      </w:r>
      <w:r>
        <w:rPr>
          <w:rFonts w:ascii="맑은 고딕" w:cs="맑은 고딕" w:eastAsia="맑은 고딕" w:hAnsi="맑은 고딕"/>
          <w:sz w:val="22"/>
          <w:szCs w:val="22"/>
        </w:rPr>
        <w:ptab w:alignment="right" w:relativeTo="margin" w:leader="dot"/>
        <w:t xml:space="preserve">2쪽</w:t>
      </w:r>
    </w:p>
    <w:p>
      <w:pPr>
        <w:spacing w:after="80"/>
      </w:pPr>
      <w:r>
        <w:rPr>
          <w:rFonts w:ascii="맑은 고딕" w:cs="맑은 고딕" w:eastAsia="맑은 고딕" w:hAnsi="맑은 고딕"/>
          <w:sz w:val="22"/>
          <w:szCs w:val="22"/>
        </w:rPr>
        <w:t xml:space="preserve">   1. 지적장애의 개념 및 특성</w:t>
      </w:r>
      <w:r>
        <w:rPr>
          <w:rFonts w:ascii="맑은 고딕" w:cs="맑은 고딕" w:eastAsia="맑은 고딕" w:hAnsi="맑은 고딕"/>
          <w:sz w:val="22"/>
          <w:szCs w:val="22"/>
        </w:rPr>
        <w:ptab w:alignment="right" w:relativeTo="margin" w:leader="dot"/>
        <w:t xml:space="preserve">2쪽</w:t>
      </w:r>
    </w:p>
    <w:p>
      <w:pPr>
        <w:spacing w:after="80"/>
      </w:pPr>
      <w:r>
        <w:rPr>
          <w:rFonts w:ascii="맑은 고딕" w:cs="맑은 고딕" w:eastAsia="맑은 고딕" w:hAnsi="맑은 고딕"/>
          <w:sz w:val="22"/>
          <w:szCs w:val="22"/>
        </w:rPr>
        <w:t xml:space="preserve">   2. 지적장애 유아의 발달적 현상 분석</w:t>
      </w:r>
      <w:r>
        <w:rPr>
          <w:rFonts w:ascii="맑은 고딕" w:cs="맑은 고딕" w:eastAsia="맑은 고딕" w:hAnsi="맑은 고딕"/>
          <w:sz w:val="22"/>
          <w:szCs w:val="22"/>
        </w:rPr>
        <w:ptab w:alignment="right" w:relativeTo="margin" w:leader="dot"/>
        <w:t xml:space="preserve">3쪽</w:t>
      </w:r>
    </w:p>
    <w:p>
      <w:pPr>
        <w:spacing w:after="80"/>
      </w:pPr>
      <w:r>
        <w:rPr>
          <w:rFonts w:ascii="맑은 고딕" w:cs="맑은 고딕" w:eastAsia="맑은 고딕" w:hAnsi="맑은 고딕"/>
          <w:sz w:val="22"/>
          <w:szCs w:val="22"/>
        </w:rPr>
        <w:t xml:space="preserve">   3. 현행 특수교육 지원체계</w:t>
      </w:r>
      <w:r>
        <w:rPr>
          <w:rFonts w:ascii="맑은 고딕" w:cs="맑은 고딕" w:eastAsia="맑은 고딕" w:hAnsi="맑은 고딕"/>
          <w:sz w:val="22"/>
          <w:szCs w:val="22"/>
        </w:rPr>
        <w:ptab w:alignment="right" w:relativeTo="margin" w:leader="dot"/>
        <w:t xml:space="preserve">3쪽</w:t>
      </w:r>
    </w:p>
    <w:p>
      <w:pPr>
        <w:spacing w:after="80"/>
      </w:pPr>
      <w:r>
        <w:rPr>
          <w:rFonts w:ascii="맑은 고딕" w:cs="맑은 고딕" w:eastAsia="맑은 고딕" w:hAnsi="맑은 고딕"/>
          <w:sz w:val="22"/>
          <w:szCs w:val="22"/>
        </w:rPr>
        <w:t xml:space="preserve">   4. 한계점과 개선 방향</w:t>
      </w:r>
      <w:r>
        <w:rPr>
          <w:rFonts w:ascii="맑은 고딕" w:cs="맑은 고딕" w:eastAsia="맑은 고딕" w:hAnsi="맑은 고딕"/>
          <w:sz w:val="22"/>
          <w:szCs w:val="22"/>
        </w:rPr>
        <w:ptab w:alignment="right" w:relativeTo="margin" w:leader="dot"/>
        <w:t xml:space="preserve">4쪽</w:t>
      </w:r>
    </w:p>
    <w:p>
      <w:pPr>
        <w:spacing w:after="80"/>
      </w:pPr>
      <w:r>
        <w:rPr>
          <w:rFonts w:ascii="맑은 고딕" w:cs="맑은 고딕" w:eastAsia="맑은 고딕" w:hAnsi="맑은 고딕"/>
          <w:sz w:val="22"/>
          <w:szCs w:val="22"/>
        </w:rPr>
        <w:t xml:space="preserve">   5. 미래지향적 현장 적용 대안</w:t>
      </w:r>
      <w:r>
        <w:rPr>
          <w:rFonts w:ascii="맑은 고딕" w:cs="맑은 고딕" w:eastAsia="맑은 고딕" w:hAnsi="맑은 고딕"/>
          <w:sz w:val="22"/>
          <w:szCs w:val="22"/>
        </w:rPr>
        <w:ptab w:alignment="right" w:relativeTo="margin" w:leader="dot"/>
        <w:t xml:space="preserve">4쪽</w:t>
      </w:r>
    </w:p>
    <w:p>
      <w:pPr>
        <w:spacing w:after="80"/>
      </w:pPr>
      <w:r>
        <w:rPr>
          <w:rFonts w:ascii="맑은 고딕" w:cs="맑은 고딕" w:eastAsia="맑은 고딕" w:hAnsi="맑은 고딕"/>
          <w:sz w:val="22"/>
          <w:szCs w:val="22"/>
        </w:rPr>
        <w:t xml:space="preserve">Ⅲ. 결론</w:t>
      </w:r>
      <w:r>
        <w:rPr>
          <w:rFonts w:ascii="맑은 고딕" w:cs="맑은 고딕" w:eastAsia="맑은 고딕" w:hAnsi="맑은 고딕"/>
          <w:sz w:val="22"/>
          <w:szCs w:val="22"/>
        </w:rPr>
        <w:ptab w:alignment="right" w:relativeTo="margin" w:leader="dot"/>
        <w:t xml:space="preserve">5쪽</w:t>
      </w:r>
    </w:p>
    <w:p>
      <w:pPr>
        <w:spacing w:after="80"/>
      </w:pPr>
      <w:r>
        <w:rPr>
          <w:rFonts w:ascii="맑은 고딕" w:cs="맑은 고딕" w:eastAsia="맑은 고딕" w:hAnsi="맑은 고딕"/>
          <w:sz w:val="22"/>
          <w:szCs w:val="22"/>
        </w:rPr>
        <w:t xml:space="preserve">참고문헌</w:t>
      </w:r>
      <w:r>
        <w:rPr>
          <w:rFonts w:ascii="맑은 고딕" w:cs="맑은 고딕" w:eastAsia="맑은 고딕" w:hAnsi="맑은 고딕"/>
          <w:sz w:val="22"/>
          <w:szCs w:val="22"/>
        </w:rPr>
        <w:ptab w:alignment="right" w:relativeTo="margin" w:leader="dot"/>
        <w:t xml:space="preserve">5쪽</w:t>
      </w:r>
    </w:p>
    <w:p>
      <w:r>
        <w:br w:type="page"/>
      </w:r>
    </w:p>
    <w:p>
      <w:pPr>
        <w:pStyle w:val="Heading1"/>
        <w:pBdr>
          <w:bottom w:val="single" w:color="4472C4" w:sz="6" w:space="4"/>
        </w:pBdr>
        <w:spacing w:after="160" w:before="300"/>
        <w:jc w:val="left"/>
      </w:pPr>
      <w:r>
        <w:rPr>
          <w:rFonts w:ascii="맑은 고딕" w:cs="맑은 고딕" w:eastAsia="맑은 고딕" w:hAnsi="맑은 고딕"/>
          <w:b/>
          <w:bCs/>
          <w:color w:val="1F3864"/>
          <w:sz w:val="28"/>
          <w:szCs w:val="28"/>
        </w:rPr>
        <w:t xml:space="preserve">Ⅰ. 서론</w:t>
      </w:r>
    </w:p>
    <w:p>
      <w:pPr>
        <w:spacing w:after="120" w:line="340"/>
        <w:ind w:firstLine="431"/>
        <w:jc w:val="both"/>
      </w:pPr>
      <w:r>
        <w:rPr>
          <w:rFonts w:ascii="맑은 고딕" w:cs="맑은 고딕" w:eastAsia="맑은 고딕" w:hAnsi="맑은 고딕"/>
          <w:b w:val="false"/>
          <w:bCs w:val="false"/>
          <w:color w:val="000000"/>
          <w:sz w:val="22"/>
          <w:szCs w:val="22"/>
        </w:rPr>
        <w:t xml:space="preserve">발달장애는 유아기에 나타나는 다양한 신경발달적 이상으로, 인지, 언어, 사회성, 운동 등 여러 영역에 걸쳐 발달의 지연 혹은 결손을 초래한다. 특히 지적장애는 발달장애의 대표적인 유형으로, 지능 및 적응행동의 결함을 핵심 특징으로 하며, 학령전기 유아의 교육적 지원 여부에 따라 이후 삶의 질이 현저히 달라진다는 점에서 조기 특수교육의 중요성이 강조되고 있다.</w:t>
      </w:r>
    </w:p>
    <w:p>
      <w:pPr>
        <w:spacing w:after="120" w:line="340"/>
        <w:ind w:firstLine="431"/>
        <w:jc w:val="both"/>
      </w:pPr>
      <w:r>
        <w:rPr>
          <w:rFonts w:ascii="맑은 고딕" w:cs="맑은 고딕" w:eastAsia="맑은 고딕" w:hAnsi="맑은 고딕"/>
          <w:b w:val="false"/>
          <w:bCs w:val="false"/>
          <w:color w:val="000000"/>
          <w:sz w:val="22"/>
          <w:szCs w:val="22"/>
        </w:rPr>
        <w:t xml:space="preserve">본 과제에서는 발달장애의 여러 유형 가운데 지적장애를 선택하여, 그 개념과 유아기에 나타나는 주요 발달적 현상을 고찰한다. 나아가 현행 특수교육학적 지원체계를 분석하고, 한계점을 도출한 뒤, 필자가 생각하는 미래지향적이고 현장 적용 가능한 대안을 제시하는 것을 목적으로 한다. 이를 통해 지적장애 유아가 보다 포괄적이고 통합적인 교육 환경 속에서 최적의 발달 기회를 누릴 수 있는 방향을 모색하고자 한다.</w:t>
      </w:r>
    </w:p>
    <w:p>
      <w:pPr>
        <w:spacing w:after="120"/>
      </w:pPr>
      <w:r>
        <w:t xml:space="preserve"/>
      </w:r>
    </w:p>
    <w:p>
      <w:pPr>
        <w:pStyle w:val="Heading1"/>
        <w:pBdr>
          <w:bottom w:val="single" w:color="4472C4" w:sz="6" w:space="4"/>
        </w:pBdr>
        <w:spacing w:after="160" w:before="300"/>
        <w:jc w:val="left"/>
      </w:pPr>
      <w:r>
        <w:rPr>
          <w:rFonts w:ascii="맑은 고딕" w:cs="맑은 고딕" w:eastAsia="맑은 고딕" w:hAnsi="맑은 고딕"/>
          <w:b/>
          <w:bCs/>
          <w:color w:val="1F3864"/>
          <w:sz w:val="28"/>
          <w:szCs w:val="28"/>
        </w:rPr>
        <w:t xml:space="preserve">Ⅱ. 본론</w:t>
      </w:r>
    </w:p>
    <w:p>
      <w:pPr>
        <w:pStyle w:val="Heading2"/>
        <w:spacing w:after="120" w:before="240"/>
        <w:jc w:val="left"/>
      </w:pPr>
      <w:r>
        <w:rPr>
          <w:rFonts w:ascii="맑은 고딕" w:cs="맑은 고딕" w:eastAsia="맑은 고딕" w:hAnsi="맑은 고딕"/>
          <w:b/>
          <w:bCs/>
          <w:color w:val="2E4A87"/>
          <w:sz w:val="24"/>
          <w:szCs w:val="24"/>
        </w:rPr>
        <w:t xml:space="preserve">1. 지적장애의 개념 및 특성</w:t>
      </w:r>
    </w:p>
    <w:p>
      <w:pPr>
        <w:spacing w:after="120" w:line="340"/>
        <w:ind w:firstLine="431"/>
        <w:jc w:val="both"/>
      </w:pPr>
      <w:r>
        <w:rPr>
          <w:rFonts w:ascii="맑은 고딕" w:cs="맑은 고딕" w:eastAsia="맑은 고딕" w:hAnsi="맑은 고딕"/>
          <w:b w:val="false"/>
          <w:bCs w:val="false"/>
          <w:color w:val="000000"/>
          <w:sz w:val="22"/>
          <w:szCs w:val="22"/>
        </w:rPr>
        <w:t xml:space="preserve">미국지적발달장애협회(AAIDD, 2021)에 따르면, 지적장애는 지적 기능과 적응행동 모두에서 유의미한 제한을 보이며, 18세 이전에 나타나는 상태로 정의된다. 지적 기능은 표준화된 지능검사를 통해 IQ 70 이하(±5 오차 범위)로 측정되는 것이 일반적이며, 적응행동은 개념적, 사회적, 실용적 기술 세 영역에서의 기능으로 구성된다.</w:t>
      </w:r>
    </w:p>
    <w:p>
      <w:pPr>
        <w:spacing w:after="120" w:line="340"/>
        <w:ind w:firstLine="431"/>
        <w:jc w:val="both"/>
      </w:pPr>
      <w:r>
        <w:rPr>
          <w:rFonts w:ascii="맑은 고딕" w:cs="맑은 고딕" w:eastAsia="맑은 고딕" w:hAnsi="맑은 고딕"/>
          <w:b w:val="false"/>
          <w:bCs w:val="false"/>
          <w:color w:val="000000"/>
          <w:sz w:val="22"/>
          <w:szCs w:val="22"/>
        </w:rPr>
        <w:t xml:space="preserve">우리나라 「장애인 등에 대한 특수교육법」(2023)에서는 지적장애를 지적 기능의 제한과 적응행동 기술의 어려움이 함께 나타나는 상태로 규정하고 있으며, 특수교육 지원 대상자로 명시하고 있다. 지적장애의 주요 특성으로는 정보처리 속도의 저하, 단기기억 약화, 일반화 능력 부족, 언어발달 지연, 그리고 사회적 상황 이해의 어려움이 꼽힌다.</w:t>
      </w:r>
    </w:p>
    <w:p>
      <w:pPr>
        <w:spacing w:after="120" w:line="340"/>
        <w:ind w:firstLine="431"/>
        <w:jc w:val="both"/>
      </w:pPr>
      <w:r>
        <w:rPr>
          <w:rFonts w:ascii="맑은 고딕" w:cs="맑은 고딕" w:eastAsia="맑은 고딕" w:hAnsi="맑은 고딕"/>
          <w:b w:val="false"/>
          <w:bCs w:val="false"/>
          <w:color w:val="000000"/>
          <w:sz w:val="22"/>
          <w:szCs w:val="22"/>
        </w:rPr>
        <w:t xml:space="preserve">장애의 정도에 따라 경도(mild), 중등도(moderate), 중도(severe), 최중도(profound)로 분류되며, 지원 강도 역시 간헐적(intermittent)에서 전반적(pervasive)까지 다양하게 설정된다. 이러한 개인별 특성 차이는 교육적 지원 계획 수립 시 반드시 고려되어야 하는 핵심 요소이다.</w:t>
      </w:r>
    </w:p>
    <w:p>
      <w:pPr>
        <w:spacing w:after="120"/>
      </w:pPr>
      <w:r>
        <w:t xml:space="preserve"/>
      </w:r>
    </w:p>
    <w:p>
      <w:pPr>
        <w:pStyle w:val="Heading2"/>
        <w:spacing w:after="120" w:before="240"/>
        <w:jc w:val="left"/>
      </w:pPr>
      <w:r>
        <w:rPr>
          <w:rFonts w:ascii="맑은 고딕" w:cs="맑은 고딕" w:eastAsia="맑은 고딕" w:hAnsi="맑은 고딕"/>
          <w:b/>
          <w:bCs/>
          <w:color w:val="2E4A87"/>
          <w:sz w:val="24"/>
          <w:szCs w:val="24"/>
        </w:rPr>
        <w:t xml:space="preserve">2. 지적장애 유아의 발달적 현상 분석</w:t>
      </w:r>
    </w:p>
    <w:p>
      <w:pPr>
        <w:spacing w:after="120" w:line="340"/>
        <w:ind w:firstLine="431"/>
        <w:jc w:val="both"/>
      </w:pPr>
      <w:r>
        <w:rPr>
          <w:rFonts w:ascii="맑은 고딕" w:cs="맑은 고딕" w:eastAsia="맑은 고딕" w:hAnsi="맑은 고딕"/>
          <w:b w:val="false"/>
          <w:bCs w:val="false"/>
          <w:color w:val="000000"/>
          <w:sz w:val="22"/>
          <w:szCs w:val="22"/>
        </w:rPr>
        <w:t xml:space="preserve">유아기(만 3~6세)의 지적장애 아동은 다양한 발달 영역에서 또래와 뚜렷한 차이를 보인다. 이를 구체적으로 살펴보면 다음과 같다.</w:t>
      </w:r>
    </w:p>
    <w:p>
      <w:pPr>
        <w:pStyle w:val="Heading3"/>
        <w:spacing w:after="80" w:before="200"/>
        <w:jc w:val="left"/>
      </w:pPr>
      <w:r>
        <w:rPr>
          <w:rFonts w:ascii="맑은 고딕" w:cs="맑은 고딕" w:eastAsia="맑은 고딕" w:hAnsi="맑은 고딕"/>
          <w:b/>
          <w:bCs/>
          <w:color w:val="264473"/>
          <w:sz w:val="24"/>
          <w:szCs w:val="24"/>
        </w:rPr>
        <w:t xml:space="preserve">(1) 언어·의사소통 발달</w:t>
      </w:r>
    </w:p>
    <w:p>
      <w:pPr>
        <w:spacing w:after="120" w:line="340"/>
        <w:ind w:firstLine="431"/>
        <w:jc w:val="both"/>
      </w:pPr>
      <w:r>
        <w:rPr>
          <w:rFonts w:ascii="맑은 고딕" w:cs="맑은 고딕" w:eastAsia="맑은 고딕" w:hAnsi="맑은 고딕"/>
          <w:b w:val="false"/>
          <w:bCs w:val="false"/>
          <w:color w:val="000000"/>
          <w:sz w:val="22"/>
          <w:szCs w:val="22"/>
        </w:rPr>
        <w:t xml:space="preserve">지적장애 유아는 언어 발달이 전반적으로 지연되며, 어휘 수가 적고 문장 구성 능력이 미흡하다. 특히 의미 이해보다 발화 형태의 학습에 편중되는 경향이 있어, 상황에 맞는 적절한 의사소통이 어렵다. 예를 들어, 만 5세 지적장애 유아가 "물 줘"와 같은 단순 표현은 구사하더라도, "선생님, 지금 목이 마른데 물을 마셔도 될까요?"와 같은 상황 적합적 표현은 어려워하는 경우가 많다.</w:t>
      </w:r>
    </w:p>
    <w:p>
      <w:pPr>
        <w:pStyle w:val="Heading3"/>
        <w:spacing w:after="80" w:before="200"/>
        <w:jc w:val="left"/>
      </w:pPr>
      <w:r>
        <w:rPr>
          <w:rFonts w:ascii="맑은 고딕" w:cs="맑은 고딕" w:eastAsia="맑은 고딕" w:hAnsi="맑은 고딕"/>
          <w:b/>
          <w:bCs/>
          <w:color w:val="264473"/>
          <w:sz w:val="24"/>
          <w:szCs w:val="24"/>
        </w:rPr>
        <w:t xml:space="preserve">(2) 인지·학습 발달</w:t>
      </w:r>
    </w:p>
    <w:p>
      <w:pPr>
        <w:spacing w:after="120" w:line="340"/>
        <w:ind w:firstLine="431"/>
        <w:jc w:val="both"/>
      </w:pPr>
      <w:r>
        <w:rPr>
          <w:rFonts w:ascii="맑은 고딕" w:cs="맑은 고딕" w:eastAsia="맑은 고딕" w:hAnsi="맑은 고딕"/>
          <w:b w:val="false"/>
          <w:bCs w:val="false"/>
          <w:color w:val="000000"/>
          <w:sz w:val="22"/>
          <w:szCs w:val="22"/>
        </w:rPr>
        <w:t xml:space="preserve">기억력, 특히 작업 기억(working memory)의 부족으로 인해 새로운 개념 습득이 더디며, 학습한 내용의 전이(transfer) 및 일반화(generalization)가 어렵다. 색깔이나 모양의 분류 과제에서 하나의 속성은 인식하더라도 두 가지 속성을 동시에 고려하는 이중 분류 과제에서는 현저한 어려움을 보이는 사례가 보고된다. 또한 주의집중 시간이 짧아 구조화된 학습 환경이 필수적이다.</w:t>
      </w:r>
    </w:p>
    <w:p>
      <w:pPr>
        <w:pStyle w:val="Heading3"/>
        <w:spacing w:after="80" w:before="200"/>
        <w:jc w:val="left"/>
      </w:pPr>
      <w:r>
        <w:rPr>
          <w:rFonts w:ascii="맑은 고딕" w:cs="맑은 고딕" w:eastAsia="맑은 고딕" w:hAnsi="맑은 고딕"/>
          <w:b/>
          <w:bCs/>
          <w:color w:val="264473"/>
          <w:sz w:val="24"/>
          <w:szCs w:val="24"/>
        </w:rPr>
        <w:t xml:space="preserve">(3) 사회·정서 발달</w:t>
      </w:r>
    </w:p>
    <w:p>
      <w:pPr>
        <w:spacing w:after="120" w:line="340"/>
        <w:ind w:firstLine="431"/>
        <w:jc w:val="both"/>
      </w:pPr>
      <w:r>
        <w:rPr>
          <w:rFonts w:ascii="맑은 고딕" w:cs="맑은 고딕" w:eastAsia="맑은 고딕" w:hAnsi="맑은 고딕"/>
          <w:b w:val="false"/>
          <w:bCs w:val="false"/>
          <w:color w:val="000000"/>
          <w:sz w:val="22"/>
          <w:szCs w:val="22"/>
        </w:rPr>
        <w:t xml:space="preserve">또래 관계 형성에 어려움을 겪으며, 사회적 단서(social cue)를 읽는 능력이 부족하다. 이로 인해 집단 놀이 상황에서 소외되거나, 욕구 표현 방식이 미숙하여 행동 문제로 이어지는 경우가 많다. 자기 조절 능력(self-regulation)의 저하로 인해 감정 폭발이나 상동행동(stereotypy)이 나타나기도 한다.</w:t>
      </w:r>
    </w:p>
    <w:p>
      <w:pPr>
        <w:pStyle w:val="Heading3"/>
        <w:spacing w:after="80" w:before="200"/>
        <w:jc w:val="left"/>
      </w:pPr>
      <w:r>
        <w:rPr>
          <w:rFonts w:ascii="맑은 고딕" w:cs="맑은 고딕" w:eastAsia="맑은 고딕" w:hAnsi="맑은 고딕"/>
          <w:b/>
          <w:bCs/>
          <w:color w:val="264473"/>
          <w:sz w:val="24"/>
          <w:szCs w:val="24"/>
        </w:rPr>
        <w:t xml:space="preserve">(4) 운동 발달</w:t>
      </w:r>
    </w:p>
    <w:p>
      <w:pPr>
        <w:spacing w:after="120" w:line="340"/>
        <w:ind w:firstLine="431"/>
        <w:jc w:val="both"/>
      </w:pPr>
      <w:r>
        <w:rPr>
          <w:rFonts w:ascii="맑은 고딕" w:cs="맑은 고딕" w:eastAsia="맑은 고딕" w:hAnsi="맑은 고딕"/>
          <w:b w:val="false"/>
          <w:bCs w:val="false"/>
          <w:color w:val="000000"/>
          <w:sz w:val="22"/>
          <w:szCs w:val="22"/>
        </w:rPr>
        <w:t xml:space="preserve">미세 운동 및 대근육 운동 발달 모두 지연될 수 있으나, 그 정도는 개인차가 크다. 그리기, 가위질 등 미세 운동 과제에서의 어려움은 이후 학습 활동 참여를 제한하는 요인이 되므로, 작업치료와의 연계가 권장된다.</w:t>
      </w:r>
    </w:p>
    <w:p>
      <w:pPr>
        <w:spacing w:after="120"/>
      </w:pPr>
      <w:r>
        <w:t xml:space="preserve"/>
      </w:r>
    </w:p>
    <w:p>
      <w:pPr>
        <w:pStyle w:val="Heading2"/>
        <w:spacing w:after="120" w:before="240"/>
        <w:jc w:val="left"/>
      </w:pPr>
      <w:r>
        <w:rPr>
          <w:rFonts w:ascii="맑은 고딕" w:cs="맑은 고딕" w:eastAsia="맑은 고딕" w:hAnsi="맑은 고딕"/>
          <w:b/>
          <w:bCs/>
          <w:color w:val="2E4A87"/>
          <w:sz w:val="24"/>
          <w:szCs w:val="24"/>
        </w:rPr>
        <w:t xml:space="preserve">3. 현행 특수교육 지원체계</w:t>
      </w:r>
    </w:p>
    <w:p>
      <w:pPr>
        <w:spacing w:after="120" w:line="340"/>
        <w:ind w:firstLine="431"/>
        <w:jc w:val="both"/>
      </w:pPr>
      <w:r>
        <w:rPr>
          <w:rFonts w:ascii="맑은 고딕" w:cs="맑은 고딕" w:eastAsia="맑은 고딕" w:hAnsi="맑은 고딕"/>
          <w:b w:val="false"/>
          <w:bCs w:val="false"/>
          <w:color w:val="000000"/>
          <w:sz w:val="22"/>
          <w:szCs w:val="22"/>
        </w:rPr>
        <w:t xml:space="preserve">우리나라의 지적장애 유아를 위한 특수교육 지원체계는 「장애인 등에 대한 특수교육법」을 근거로 운영되며, 크게 교육 기관, 지원 인력, 개별화 교육 계획(IEP), 관련 서비스로 구성된다.</w:t>
      </w:r>
    </w:p>
    <w:p>
      <w:pPr>
        <w:pStyle w:val="Heading3"/>
        <w:spacing w:after="80" w:before="200"/>
        <w:jc w:val="left"/>
      </w:pPr>
      <w:r>
        <w:rPr>
          <w:rFonts w:ascii="맑은 고딕" w:cs="맑은 고딕" w:eastAsia="맑은 고딕" w:hAnsi="맑은 고딕"/>
          <w:b/>
          <w:bCs/>
          <w:color w:val="264473"/>
          <w:sz w:val="24"/>
          <w:szCs w:val="24"/>
        </w:rPr>
        <w:t xml:space="preserve">(1) 교육 기관 및 배치</w:t>
      </w:r>
    </w:p>
    <w:p>
      <w:pPr>
        <w:spacing w:after="120" w:line="340"/>
        <w:ind w:firstLine="431"/>
        <w:jc w:val="both"/>
      </w:pPr>
      <w:r>
        <w:rPr>
          <w:rFonts w:ascii="맑은 고딕" w:cs="맑은 고딕" w:eastAsia="맑은 고딕" w:hAnsi="맑은 고딕"/>
          <w:b w:val="false"/>
          <w:bCs w:val="false"/>
          <w:color w:val="000000"/>
          <w:sz w:val="22"/>
          <w:szCs w:val="22"/>
        </w:rPr>
        <w:t xml:space="preserve">지적장애 유아는 특수학교 유치부, 일반 유치원 내 특수학급, 통합교육 일반학급에 배치될 수 있다. 교육부(2023) 특수교육 통계에 따르면, 유치원 과정 특수교육 대상 학생 중 약 62.4%가 일반 유치원의 특수학급 또는 통합학급에 재학하고 있어, 통합교육의 비중이 점차 확대되고 있음을 알 수 있다.</w:t>
      </w:r>
    </w:p>
    <w:p>
      <w:pPr>
        <w:pStyle w:val="Heading3"/>
        <w:spacing w:after="80" w:before="200"/>
        <w:jc w:val="left"/>
      </w:pPr>
      <w:r>
        <w:rPr>
          <w:rFonts w:ascii="맑은 고딕" w:cs="맑은 고딕" w:eastAsia="맑은 고딕" w:hAnsi="맑은 고딕"/>
          <w:b/>
          <w:bCs/>
          <w:color w:val="264473"/>
          <w:sz w:val="24"/>
          <w:szCs w:val="24"/>
        </w:rPr>
        <w:t xml:space="preserve">(2) 개별화 교육 계획(IEP)</w:t>
      </w:r>
    </w:p>
    <w:p>
      <w:pPr>
        <w:spacing w:after="120" w:line="340"/>
        <w:ind w:firstLine="431"/>
        <w:jc w:val="both"/>
      </w:pPr>
      <w:r>
        <w:rPr>
          <w:rFonts w:ascii="맑은 고딕" w:cs="맑은 고딕" w:eastAsia="맑은 고딕" w:hAnsi="맑은 고딕"/>
          <w:b w:val="false"/>
          <w:bCs w:val="false"/>
          <w:color w:val="000000"/>
          <w:sz w:val="22"/>
          <w:szCs w:val="22"/>
        </w:rPr>
        <w:t xml:space="preserve">개별화 교육 계획은 특수교육의 핵심 도구로, 교사, 부모, 관련 전문가가 협력하여 학생 개인의 현재 수행 수준, 교육 목표, 지원 방법, 평가 기준을 명시한 문서이다. 지적장애 유아의 경우 언어, 인지, 자조 기술, 사회성 등 다양한 영역을 포함하는 포괄적 IEP 수립이 요구된다.</w:t>
      </w:r>
    </w:p>
    <w:p>
      <w:pPr>
        <w:pStyle w:val="Heading3"/>
        <w:spacing w:after="80" w:before="200"/>
        <w:jc w:val="left"/>
      </w:pPr>
      <w:r>
        <w:rPr>
          <w:rFonts w:ascii="맑은 고딕" w:cs="맑은 고딕" w:eastAsia="맑은 고딕" w:hAnsi="맑은 고딕"/>
          <w:b/>
          <w:bCs/>
          <w:color w:val="264473"/>
          <w:sz w:val="24"/>
          <w:szCs w:val="24"/>
        </w:rPr>
        <w:t xml:space="preserve">(3) 관련 서비스</w:t>
      </w:r>
    </w:p>
    <w:p>
      <w:pPr>
        <w:spacing w:after="120" w:line="340"/>
        <w:ind w:firstLine="431"/>
        <w:jc w:val="both"/>
      </w:pPr>
      <w:r>
        <w:rPr>
          <w:rFonts w:ascii="맑은 고딕" w:cs="맑은 고딕" w:eastAsia="맑은 고딕" w:hAnsi="맑은 고딕"/>
          <w:b w:val="false"/>
          <w:bCs w:val="false"/>
          <w:color w:val="000000"/>
          <w:sz w:val="22"/>
          <w:szCs w:val="22"/>
        </w:rPr>
        <w:t xml:space="preserve">언어치료, 작업치료, 물리치료, 심리·행동지원 등의 관련 서비스가 특수교육 지원센터를 통해 제공된다. 그러나 인력 부족과 지역 간 서비스 편차로 인해 모든 유아에게 필요한 지원이 적시에 제공되지 못하는 한계가 존재한다.</w:t>
      </w:r>
    </w:p>
    <w:p>
      <w:pPr>
        <w:spacing w:after="120"/>
      </w:pPr>
      <w:r>
        <w:t xml:space="preserve"/>
      </w:r>
    </w:p>
    <w:p>
      <w:pPr>
        <w:pStyle w:val="Heading2"/>
        <w:spacing w:after="120" w:before="240"/>
        <w:jc w:val="left"/>
      </w:pPr>
      <w:r>
        <w:rPr>
          <w:rFonts w:ascii="맑은 고딕" w:cs="맑은 고딕" w:eastAsia="맑은 고딕" w:hAnsi="맑은 고딕"/>
          <w:b/>
          <w:bCs/>
          <w:color w:val="2E4A87"/>
          <w:sz w:val="24"/>
          <w:szCs w:val="24"/>
        </w:rPr>
        <w:t xml:space="preserve">4. 현행 지원체계의 한계점과 개선 방향</w:t>
      </w:r>
    </w:p>
    <w:p>
      <w:pPr>
        <w:spacing w:after="120" w:line="340"/>
        <w:ind w:firstLine="431"/>
        <w:jc w:val="both"/>
      </w:pPr>
      <w:r>
        <w:rPr>
          <w:rFonts w:ascii="맑은 고딕" w:cs="맑은 고딕" w:eastAsia="맑은 고딕" w:hAnsi="맑은 고딕"/>
          <w:b w:val="false"/>
          <w:bCs w:val="false"/>
          <w:color w:val="000000"/>
          <w:sz w:val="22"/>
          <w:szCs w:val="22"/>
        </w:rPr>
        <w:t xml:space="preserve">현행 특수교육 지원체계는 법적 기반과 제도적 틀을 갖추고 있음에도 불구하고, 실천 현장에서는 여러 구조적 한계가 확인된다.</w:t>
      </w:r>
    </w:p>
    <w:p>
      <w:pPr>
        <w:spacing w:after="80" w:line="320"/>
        <w:ind w:left="431" w:hanging="215"/>
      </w:pPr>
      <w:r>
        <w:rPr>
          <w:rFonts w:ascii="맑은 고딕" w:cs="맑은 고딕" w:eastAsia="맑은 고딕" w:hAnsi="맑은 고딕"/>
          <w:b/>
          <w:bCs/>
          <w:color w:val="4472C4"/>
          <w:sz w:val="22"/>
          <w:szCs w:val="22"/>
        </w:rPr>
        <w:t xml:space="preserve">• </w:t>
      </w:r>
      <w:r>
        <w:rPr>
          <w:rFonts w:ascii="맑은 고딕" w:cs="맑은 고딕" w:eastAsia="맑은 고딕" w:hAnsi="맑은 고딕"/>
          <w:sz w:val="22"/>
          <w:szCs w:val="22"/>
        </w:rPr>
        <w:t xml:space="preserve">조기 진단 및 개입의 지연: 지적장애의 경미한 경우 유아기에 진단이 이루어지지 않아 교육적 지원 시기를 놓치는 사례가 발생한다.</w:t>
      </w:r>
    </w:p>
    <w:p>
      <w:pPr>
        <w:spacing w:after="80" w:line="320"/>
        <w:ind w:left="431" w:hanging="215"/>
      </w:pPr>
      <w:r>
        <w:rPr>
          <w:rFonts w:ascii="맑은 고딕" w:cs="맑은 고딕" w:eastAsia="맑은 고딕" w:hAnsi="맑은 고딕"/>
          <w:b/>
          <w:bCs/>
          <w:color w:val="4472C4"/>
          <w:sz w:val="22"/>
          <w:szCs w:val="22"/>
        </w:rPr>
        <w:t xml:space="preserve">• </w:t>
      </w:r>
      <w:r>
        <w:rPr>
          <w:rFonts w:ascii="맑은 고딕" w:cs="맑은 고딕" w:eastAsia="맑은 고딕" w:hAnsi="맑은 고딕"/>
          <w:sz w:val="22"/>
          <w:szCs w:val="22"/>
        </w:rPr>
        <w:t xml:space="preserve">지역 간 서비스 편차: 도시와 농촌 간 특수교사 및 관련 치료 인력의 수급 불균형이 심각하여, 거주 지역에 따라 지원 수준에 큰 차이가 발생한다.</w:t>
      </w:r>
    </w:p>
    <w:p>
      <w:pPr>
        <w:spacing w:after="80" w:line="320"/>
        <w:ind w:left="431" w:hanging="215"/>
      </w:pPr>
      <w:r>
        <w:rPr>
          <w:rFonts w:ascii="맑은 고딕" w:cs="맑은 고딕" w:eastAsia="맑은 고딕" w:hAnsi="맑은 고딕"/>
          <w:b/>
          <w:bCs/>
          <w:color w:val="4472C4"/>
          <w:sz w:val="22"/>
          <w:szCs w:val="22"/>
        </w:rPr>
        <w:t xml:space="preserve">• </w:t>
      </w:r>
      <w:r>
        <w:rPr>
          <w:rFonts w:ascii="맑은 고딕" w:cs="맑은 고딕" w:eastAsia="맑은 고딕" w:hAnsi="맑은 고딕"/>
          <w:sz w:val="22"/>
          <w:szCs w:val="22"/>
        </w:rPr>
        <w:t xml:space="preserve">통합교육 내 지원 미흡: 통합학급에 배치된 지적장애 유아에 대한 일반 교사의 전문성 부족과 보조인력 지원의 불충분함이 실질적 통합교육의 질을 저하시킨다.</w:t>
      </w:r>
    </w:p>
    <w:p>
      <w:pPr>
        <w:spacing w:after="80" w:line="320"/>
        <w:ind w:left="431" w:hanging="215"/>
      </w:pPr>
      <w:r>
        <w:rPr>
          <w:rFonts w:ascii="맑은 고딕" w:cs="맑은 고딕" w:eastAsia="맑은 고딕" w:hAnsi="맑은 고딕"/>
          <w:b/>
          <w:bCs/>
          <w:color w:val="4472C4"/>
          <w:sz w:val="22"/>
          <w:szCs w:val="22"/>
        </w:rPr>
        <w:t xml:space="preserve">• </w:t>
      </w:r>
      <w:r>
        <w:rPr>
          <w:rFonts w:ascii="맑은 고딕" w:cs="맑은 고딕" w:eastAsia="맑은 고딕" w:hAnsi="맑은 고딕"/>
          <w:sz w:val="22"/>
          <w:szCs w:val="22"/>
        </w:rPr>
        <w:t xml:space="preserve">가족 지원의 부족: 유아의 주 양육자인 부모에 대한 교육 및 심리지원 서비스가 체계화되어 있지 않아, 가정과 학교의 일관된 지도가 어렵다.</w:t>
      </w:r>
    </w:p>
    <w:p>
      <w:pPr>
        <w:spacing w:after="120"/>
      </w:pPr>
      <w:r>
        <w:t xml:space="preserve"/>
      </w:r>
    </w:p>
    <w:p>
      <w:pPr>
        <w:pStyle w:val="Heading2"/>
        <w:spacing w:after="120" w:before="240"/>
        <w:jc w:val="left"/>
      </w:pPr>
      <w:r>
        <w:rPr>
          <w:rFonts w:ascii="맑은 고딕" w:cs="맑은 고딕" w:eastAsia="맑은 고딕" w:hAnsi="맑은 고딕"/>
          <w:b/>
          <w:bCs/>
          <w:color w:val="2E4A87"/>
          <w:sz w:val="24"/>
          <w:szCs w:val="24"/>
        </w:rPr>
        <w:t xml:space="preserve">5. 미래지향적 현장 적용 가능 대안 제언</w:t>
      </w:r>
    </w:p>
    <w:p>
      <w:pPr>
        <w:spacing w:after="120" w:line="340"/>
        <w:ind w:firstLine="431"/>
        <w:jc w:val="both"/>
      </w:pPr>
      <w:r>
        <w:rPr>
          <w:rFonts w:ascii="맑은 고딕" w:cs="맑은 고딕" w:eastAsia="맑은 고딕" w:hAnsi="맑은 고딕"/>
          <w:b w:val="false"/>
          <w:bCs w:val="false"/>
          <w:color w:val="000000"/>
          <w:sz w:val="22"/>
          <w:szCs w:val="22"/>
        </w:rPr>
        <w:t xml:space="preserve">필자는 위의 한계점을 극복하고 지적장애 유아에 대한 특수교육의 질적 향상을 도모하기 위해 다음과 같은 미래지향적 대안을 제언한다.</w:t>
      </w:r>
    </w:p>
    <w:p>
      <w:pPr>
        <w:pStyle w:val="Heading3"/>
        <w:spacing w:after="80" w:before="200"/>
        <w:jc w:val="left"/>
      </w:pPr>
      <w:r>
        <w:rPr>
          <w:rFonts w:ascii="맑은 고딕" w:cs="맑은 고딕" w:eastAsia="맑은 고딕" w:hAnsi="맑은 고딕"/>
          <w:b/>
          <w:bCs/>
          <w:color w:val="264473"/>
          <w:sz w:val="24"/>
          <w:szCs w:val="24"/>
        </w:rPr>
        <w:t xml:space="preserve">(1) 보편적 학습 설계(UDL) 기반 통합교육 확대</w:t>
      </w:r>
    </w:p>
    <w:p>
      <w:pPr>
        <w:spacing w:after="120" w:line="340"/>
        <w:ind w:firstLine="431"/>
        <w:jc w:val="both"/>
      </w:pPr>
      <w:r>
        <w:rPr>
          <w:rFonts w:ascii="맑은 고딕" w:cs="맑은 고딕" w:eastAsia="맑은 고딕" w:hAnsi="맑은 고딕"/>
          <w:b w:val="false"/>
          <w:bCs w:val="false"/>
          <w:color w:val="000000"/>
          <w:sz w:val="22"/>
          <w:szCs w:val="22"/>
        </w:rPr>
        <w:t xml:space="preserve">보편적 학습 설계(Universal Design for Learning: UDL)는 모든 학습자의 다양한 요구를 사전에 고려하여 교육과정, 교수 방법, 평가를 유연하게 설계하는 접근이다. 지적장애 유아가 통합학급에서 소외되지 않으려면, UDL 원리에 따라 표현 방식의 다양화(예: 그림카드, 음성 지원), 참여 방식의 다양화(예: 협동놀이, 또래 튜터링), 학습 내용 표현의 다양화가 이루어져야 한다. 이를 위해 일반 유치원 교사 대상의 특수교육 직무연수를 의무화하고, 협력교수(co-teaching) 모델의 현장 적용을 확대해야 한다.</w:t>
      </w:r>
    </w:p>
    <w:p>
      <w:pPr>
        <w:pStyle w:val="Heading3"/>
        <w:spacing w:after="80" w:before="200"/>
        <w:jc w:val="left"/>
      </w:pPr>
      <w:r>
        <w:rPr>
          <w:rFonts w:ascii="맑은 고딕" w:cs="맑은 고딕" w:eastAsia="맑은 고딕" w:hAnsi="맑은 고딕"/>
          <w:b/>
          <w:bCs/>
          <w:color w:val="264473"/>
          <w:sz w:val="24"/>
          <w:szCs w:val="24"/>
        </w:rPr>
        <w:t xml:space="preserve">(2) 에듀테크(EduTech) 활용 개별화 학습 지원</w:t>
      </w:r>
    </w:p>
    <w:p>
      <w:pPr>
        <w:spacing w:after="120" w:line="340"/>
        <w:ind w:firstLine="431"/>
        <w:jc w:val="both"/>
      </w:pPr>
      <w:r>
        <w:rPr>
          <w:rFonts w:ascii="맑은 고딕" w:cs="맑은 고딕" w:eastAsia="맑은 고딕" w:hAnsi="맑은 고딕"/>
          <w:b w:val="false"/>
          <w:bCs w:val="false"/>
          <w:color w:val="000000"/>
          <w:sz w:val="22"/>
          <w:szCs w:val="22"/>
        </w:rPr>
        <w:t xml:space="preserve">인공지능(AI) 기반 학습 플랫폼과 증강현실(AR) 기술을 활용하면, 지적장애 유아의 개별 수준에 맞는 맞춤형 학습 경험을 제공할 수 있다. 예를 들어, 발화 인식 기술을 활용한 언어 훈련 앱이나, 직관적 터치 인터페이스 기반의 인지 훈련 게임은 아동의 참여 동기를 높이고 반복 학습의 효과를 극대화한다. 현장에서는 태블릿 PC를 활용한 보완대체의사소통(AAC) 기기 도입이 점차 확대되고 있으며, 이를 체계적으로 지원하는 디지털 특수교육 환경 구축이 필요하다.</w:t>
      </w:r>
    </w:p>
    <w:p>
      <w:pPr>
        <w:pStyle w:val="Heading3"/>
        <w:spacing w:after="80" w:before="200"/>
        <w:jc w:val="left"/>
      </w:pPr>
      <w:r>
        <w:rPr>
          <w:rFonts w:ascii="맑은 고딕" w:cs="맑은 고딕" w:eastAsia="맑은 고딕" w:hAnsi="맑은 고딕"/>
          <w:b/>
          <w:bCs/>
          <w:color w:val="264473"/>
          <w:sz w:val="24"/>
          <w:szCs w:val="24"/>
        </w:rPr>
        <w:t xml:space="preserve">(3) 가족 중심 조기 개입(Family-Centered Early Intervention) 강화</w:t>
      </w:r>
    </w:p>
    <w:p>
      <w:pPr>
        <w:spacing w:after="120" w:line="340"/>
        <w:ind w:firstLine="431"/>
        <w:jc w:val="both"/>
      </w:pPr>
      <w:r>
        <w:rPr>
          <w:rFonts w:ascii="맑은 고딕" w:cs="맑은 고딕" w:eastAsia="맑은 고딕" w:hAnsi="맑은 고딕"/>
          <w:b w:val="false"/>
          <w:bCs w:val="false"/>
          <w:color w:val="000000"/>
          <w:sz w:val="22"/>
          <w:szCs w:val="22"/>
        </w:rPr>
        <w:t xml:space="preserve">지적장애 유아의 발달에는 가정 환경과 부모의 역할이 결정적으로 작용한다. 가족 중심 조기 개입 모델은 부모를 단순한 서비스 수혜자가 아닌 교육의 공동 파트너로 인식하며, 가정에서의 일상적 상호작용 속에 치료적 목표를 녹여내는 접근이다. 구체적으로는 부모 교육 프로그램의 의무적 제공, 가정방문 특수교육 서비스 확대, 부모 자조 모임 지원 등이 포함된다. 나아가 부모의 심리적 소진을 예방하기 위한 정서지원 서비스도 병행되어야 한다.</w:t>
      </w:r>
    </w:p>
    <w:p>
      <w:pPr>
        <w:pStyle w:val="Heading3"/>
        <w:spacing w:after="80" w:before="200"/>
        <w:jc w:val="left"/>
      </w:pPr>
      <w:r>
        <w:rPr>
          <w:rFonts w:ascii="맑은 고딕" w:cs="맑은 고딕" w:eastAsia="맑은 고딕" w:hAnsi="맑은 고딕"/>
          <w:b/>
          <w:bCs/>
          <w:color w:val="264473"/>
          <w:sz w:val="24"/>
          <w:szCs w:val="24"/>
        </w:rPr>
        <w:t xml:space="preserve">(4) 전문가 협력팀(Transdisciplinary Team) 체계 구축</w:t>
      </w:r>
    </w:p>
    <w:p>
      <w:pPr>
        <w:spacing w:after="120" w:line="340"/>
        <w:ind w:firstLine="431"/>
        <w:jc w:val="both"/>
      </w:pPr>
      <w:r>
        <w:rPr>
          <w:rFonts w:ascii="맑은 고딕" w:cs="맑은 고딕" w:eastAsia="맑은 고딕" w:hAnsi="맑은 고딕"/>
          <w:b w:val="false"/>
          <w:bCs w:val="false"/>
          <w:color w:val="000000"/>
          <w:sz w:val="22"/>
          <w:szCs w:val="22"/>
        </w:rPr>
        <w:t xml:space="preserve">지적장애 유아의 복합적인 요구를 충족하기 위해서는 특수교사, 언어치료사, 작업치료사, 사회복지사, 심리상담사, 의사가 협력하는 초학문적(transdisciplinary) 팀 접근이 필요하다. 현재 각 전문직 간 협력이 단편적으로 이루어지는 한계를 극복하기 위해, 지역 특수교육지원센터를 허브로 삼아 사례회의, 공동 IEP 수립, 정보 공유 플랫폼 구축 등을 제도화해야 한다. 필자는 이 협력팀 체계야말로 지원의 효율성과 일관성을 동시에 담보하는 가장 근본적인 구조 개선이라 본다.</w:t>
      </w:r>
    </w:p>
    <w:p>
      <w:pPr>
        <w:pStyle w:val="Heading3"/>
        <w:spacing w:after="80" w:before="200"/>
        <w:jc w:val="left"/>
      </w:pPr>
      <w:r>
        <w:rPr>
          <w:rFonts w:ascii="맑은 고딕" w:cs="맑은 고딕" w:eastAsia="맑은 고딕" w:hAnsi="맑은 고딕"/>
          <w:b/>
          <w:bCs/>
          <w:color w:val="264473"/>
          <w:sz w:val="24"/>
          <w:szCs w:val="24"/>
        </w:rPr>
        <w:t xml:space="preserve">(5) 전환 계획(Transition Planning)의 조기 도입</w:t>
      </w:r>
    </w:p>
    <w:p>
      <w:pPr>
        <w:spacing w:after="120" w:line="340"/>
        <w:ind w:firstLine="431"/>
        <w:jc w:val="both"/>
      </w:pPr>
      <w:r>
        <w:rPr>
          <w:rFonts w:ascii="맑은 고딕" w:cs="맑은 고딕" w:eastAsia="맑은 고딕" w:hAnsi="맑은 고딕"/>
          <w:b w:val="false"/>
          <w:bCs w:val="false"/>
          <w:color w:val="000000"/>
          <w:sz w:val="22"/>
          <w:szCs w:val="22"/>
        </w:rPr>
        <w:t xml:space="preserve">유아기에서 학령기로의 전환은 지적장애 아동에게 매우 중요한 시기이다. 현행 제도에서는 전환 지원이 중·고등 시기에 집중되어 있으나, 필자는 유아기부터 초등학교 입학 준비를 위한 전환 계획을 IEP에 통합하는 것이 필요하다고 본다. 이는 학교 적응 프로그램, 예비 방문 활동, 수신 학교 교사와의 정보 인계 절차를 포함하며, 아동이 새로운 환경에 안전하게 적응할 수 있는 기반을 마련한다.</w:t>
      </w:r>
    </w:p>
    <w:p>
      <w:pPr>
        <w:spacing w:after="120"/>
      </w:pPr>
      <w:r>
        <w:t xml:space="preserve"/>
      </w:r>
    </w:p>
    <w:p>
      <w:pPr>
        <w:pStyle w:val="Heading1"/>
        <w:pBdr>
          <w:bottom w:val="single" w:color="4472C4" w:sz="6" w:space="4"/>
        </w:pBdr>
        <w:spacing w:after="160" w:before="300"/>
        <w:jc w:val="left"/>
      </w:pPr>
      <w:r>
        <w:rPr>
          <w:rFonts w:ascii="맑은 고딕" w:cs="맑은 고딕" w:eastAsia="맑은 고딕" w:hAnsi="맑은 고딕"/>
          <w:b/>
          <w:bCs/>
          <w:color w:val="1F3864"/>
          <w:sz w:val="28"/>
          <w:szCs w:val="28"/>
        </w:rPr>
        <w:t xml:space="preserve">Ⅲ. 결론</w:t>
      </w:r>
    </w:p>
    <w:p>
      <w:pPr>
        <w:spacing w:after="120" w:line="340"/>
        <w:ind w:firstLine="431"/>
        <w:jc w:val="both"/>
      </w:pPr>
      <w:r>
        <w:rPr>
          <w:rFonts w:ascii="맑은 고딕" w:cs="맑은 고딕" w:eastAsia="맑은 고딕" w:hAnsi="맑은 고딕"/>
          <w:b w:val="false"/>
          <w:bCs w:val="false"/>
          <w:color w:val="000000"/>
          <w:sz w:val="22"/>
          <w:szCs w:val="22"/>
        </w:rPr>
        <w:t xml:space="preserve">본 과제에서는 발달장애 유형 중 지적장애를 선택하여, 유아기에 나타나는 주요 발달적 현상과 언어·인지·사회·운동 각 영역에서의 특성을 분석하였다. 또한 현행 특수교육 지원체계를 법적 근거와 제도적 구성 측면에서 살펴보고, 조기 진단 지연, 지역 간 서비스 편차, 통합교육 지원 미흡, 가족 지원 부족 등의 한계점을 도출하였다.</w:t>
      </w:r>
    </w:p>
    <w:p>
      <w:pPr>
        <w:spacing w:after="120" w:line="340"/>
        <w:ind w:firstLine="431"/>
        <w:jc w:val="both"/>
      </w:pPr>
      <w:r>
        <w:rPr>
          <w:rFonts w:ascii="맑은 고딕" w:cs="맑은 고딕" w:eastAsia="맑은 고딕" w:hAnsi="맑은 고딕"/>
          <w:b w:val="false"/>
          <w:bCs w:val="false"/>
          <w:color w:val="000000"/>
          <w:sz w:val="22"/>
          <w:szCs w:val="22"/>
        </w:rPr>
        <w:t xml:space="preserve">이에 대한 미래지향적 대안으로 보편적 학습 설계(UDL) 기반 통합교육 확대, 에듀테크를 활용한 개별화 학습 지원, 가족 중심 조기 개입 강화, 초학문적 전문가 협력팀 구축, 그리고 조기 전환 계획 수립을 제언하였다.</w:t>
      </w:r>
    </w:p>
    <w:p>
      <w:pPr>
        <w:spacing w:after="120" w:line="340"/>
        <w:ind w:firstLine="431"/>
        <w:jc w:val="both"/>
      </w:pPr>
      <w:r>
        <w:rPr>
          <w:rFonts w:ascii="맑은 고딕" w:cs="맑은 고딕" w:eastAsia="맑은 고딕" w:hAnsi="맑은 고딕"/>
          <w:b w:val="false"/>
          <w:bCs w:val="false"/>
          <w:color w:val="000000"/>
          <w:sz w:val="22"/>
          <w:szCs w:val="22"/>
        </w:rPr>
        <w:t xml:space="preserve">지적장애 유아에 대한 특수교육은 단순히 결손을 보완하는 차원을 넘어, 아동이 지닌 잠재력을 최대한 실현하도록 지원하는 권리 기반 접근이어야 한다. 이를 위해 교육 현장, 가정, 지역사회, 정책 당국이 유기적으로 협력하는 생태학적 지원 체계의 구축이 절실히 요구된다. 앞으로 우리 사회가 지적장애 유아 한 명 한 명을 온전히 품을 수 있는 포용적 교육 환경으로 나아가기를 기대한다.</w:t>
      </w:r>
    </w:p>
    <w:p>
      <w:pPr>
        <w:spacing w:after="120"/>
      </w:pPr>
      <w:r>
        <w:t xml:space="preserve"/>
      </w:r>
    </w:p>
    <w:p>
      <w:pPr>
        <w:pStyle w:val="Heading1"/>
        <w:pBdr>
          <w:bottom w:val="single" w:color="4472C4" w:sz="6" w:space="4"/>
        </w:pBdr>
        <w:spacing w:after="160" w:before="300"/>
        <w:jc w:val="left"/>
      </w:pPr>
      <w:r>
        <w:rPr>
          <w:rFonts w:ascii="맑은 고딕" w:cs="맑은 고딕" w:eastAsia="맑은 고딕" w:hAnsi="맑은 고딕"/>
          <w:b/>
          <w:bCs/>
          <w:color w:val="1F3864"/>
          <w:sz w:val="28"/>
          <w:szCs w:val="28"/>
        </w:rPr>
        <w:t xml:space="preserve">참고문헌</w:t>
      </w:r>
    </w:p>
    <w:p>
      <w:pPr>
        <w:spacing w:after="80"/>
        <w:ind w:left="576" w:hanging="576"/>
      </w:pPr>
      <w:r>
        <w:rPr>
          <w:rFonts w:ascii="맑은 고딕" w:cs="맑은 고딕" w:eastAsia="맑은 고딕" w:hAnsi="맑은 고딕"/>
          <w:color w:val="444444"/>
          <w:sz w:val="18"/>
          <w:szCs w:val="18"/>
        </w:rPr>
        <w:t xml:space="preserve">교육부 (2023). 특수교육 연차보고서. 세종: 교육부.</w:t>
      </w:r>
    </w:p>
    <w:p>
      <w:pPr>
        <w:spacing w:after="80"/>
        <w:ind w:left="576" w:hanging="576"/>
      </w:pPr>
      <w:r>
        <w:rPr>
          <w:rFonts w:ascii="맑은 고딕" w:cs="맑은 고딕" w:eastAsia="맑은 고딕" w:hAnsi="맑은 고딕"/>
          <w:color w:val="444444"/>
          <w:sz w:val="18"/>
          <w:szCs w:val="18"/>
        </w:rPr>
        <w:t xml:space="preserve">김삼섭 (2021). 특수교육학. 서울: 교육과학사.</w:t>
      </w:r>
    </w:p>
    <w:p>
      <w:pPr>
        <w:spacing w:after="80"/>
        <w:ind w:left="576" w:hanging="576"/>
      </w:pPr>
      <w:r>
        <w:rPr>
          <w:rFonts w:ascii="맑은 고딕" w:cs="맑은 고딕" w:eastAsia="맑은 고딕" w:hAnsi="맑은 고딕"/>
          <w:color w:val="444444"/>
          <w:sz w:val="18"/>
          <w:szCs w:val="18"/>
        </w:rPr>
        <w:t xml:space="preserve">박승희 (2019). 통합교육의 이해와 실제. 서울: 학지사.</w:t>
      </w:r>
    </w:p>
    <w:p>
      <w:pPr>
        <w:spacing w:after="80"/>
        <w:ind w:left="576" w:hanging="576"/>
      </w:pPr>
      <w:r>
        <w:rPr>
          <w:rFonts w:ascii="맑은 고딕" w:cs="맑은 고딕" w:eastAsia="맑은 고딕" w:hAnsi="맑은 고딕"/>
          <w:color w:val="444444"/>
          <w:sz w:val="18"/>
          <w:szCs w:val="18"/>
        </w:rPr>
        <w:t xml:space="preserve">박은혜, 한경근 (2022). 중도중복장애 학생의 교육. 서울: 학지사.</w:t>
      </w:r>
    </w:p>
    <w:p>
      <w:pPr>
        <w:spacing w:after="80"/>
        <w:ind w:left="576" w:hanging="576"/>
      </w:pPr>
      <w:r>
        <w:rPr>
          <w:rFonts w:ascii="맑은 고딕" w:cs="맑은 고딕" w:eastAsia="맑은 고딕" w:hAnsi="맑은 고딕"/>
          <w:color w:val="444444"/>
          <w:sz w:val="18"/>
          <w:szCs w:val="18"/>
        </w:rPr>
        <w:t xml:space="preserve">이소현, 박은혜 (2022). 특수아동 교육 (제4판). 서울: 학지사.</w:t>
      </w:r>
    </w:p>
    <w:p>
      <w:pPr>
        <w:spacing w:after="80"/>
        <w:ind w:left="576" w:hanging="576"/>
      </w:pPr>
      <w:r>
        <w:rPr>
          <w:rFonts w:ascii="맑은 고딕" w:cs="맑은 고딕" w:eastAsia="맑은 고딕" w:hAnsi="맑은 고딕"/>
          <w:color w:val="444444"/>
          <w:sz w:val="18"/>
          <w:szCs w:val="18"/>
        </w:rPr>
        <w:t xml:space="preserve">American Association on Intellectual and Developmental Disabilities (AAIDD). (2021). Intellectual disability: Definition, diagnosis, classification, and systems of supports (12th ed.). Washington, DC: AAIDD.</w:t>
      </w:r>
    </w:p>
    <w:p>
      <w:pPr>
        <w:spacing w:after="80"/>
        <w:ind w:left="576" w:hanging="576"/>
      </w:pPr>
      <w:r>
        <w:rPr>
          <w:rFonts w:ascii="맑은 고딕" w:cs="맑은 고딕" w:eastAsia="맑은 고딕" w:hAnsi="맑은 고딕"/>
          <w:color w:val="444444"/>
          <w:sz w:val="18"/>
          <w:szCs w:val="18"/>
        </w:rPr>
        <w:t xml:space="preserve">Odom, S. L., Buysse, V., &amp; Soukakou, E. (2011). Inclusion for young children with disabilities: A quarter century of research perspectives. Journal of Early Intervention, 33(4), 344–356. https://doi.org/10.1177/1053815111430094</w:t>
      </w:r>
    </w:p>
    <w:p>
      <w:pPr>
        <w:spacing w:after="80"/>
        <w:ind w:left="576" w:hanging="576"/>
      </w:pPr>
      <w:r>
        <w:rPr>
          <w:rFonts w:ascii="맑은 고딕" w:cs="맑은 고딕" w:eastAsia="맑은 고딕" w:hAnsi="맑은 고딕"/>
          <w:color w:val="444444"/>
          <w:sz w:val="18"/>
          <w:szCs w:val="18"/>
        </w:rPr>
        <w:t xml:space="preserve">Wehmeyer, M. L., &amp; Shogren, K. A. (2016). Self-determination and choice. In N. Singh (Ed.), Handbook of Evidence-Based Practices in Intellectual and Developmental Disabilities (pp. 561–584). Springer.</w:t>
      </w:r>
    </w:p>
    <w:p>
      <w:pPr>
        <w:spacing w:after="80"/>
        <w:ind w:left="576" w:hanging="576"/>
      </w:pPr>
      <w:r>
        <w:rPr>
          <w:rFonts w:ascii="맑은 고딕" w:cs="맑은 고딕" w:eastAsia="맑은 고딕" w:hAnsi="맑은 고딕"/>
          <w:color w:val="444444"/>
          <w:sz w:val="18"/>
          <w:szCs w:val="18"/>
        </w:rPr>
        <w:t xml:space="preserve">장애인 등에 대한 특수교육법 (2023). 법률 제19386호.</w:t>
      </w:r>
    </w:p>
    <w:p>
      <w:r>
        <w:br w:type="page"/>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000"/>
            <w:tcBorders>
              <w:top w:val="single" w:color="DAA520" w:sz="8"/>
              <w:left w:val="single" w:color="DAA520" w:sz="8"/>
              <w:bottom w:val="single" w:color="DAA520" w:sz="8"/>
              <w:right w:val="single" w:color="DAA520" w:sz="8"/>
            </w:tcBorders>
            <w:shd w:color="FFF8DC" w:val="clear"/>
          </w:tcPr>
          <w:p>
            <w:pPr>
              <w:spacing w:after="120" w:before="160"/>
              <w:jc w:val="center"/>
            </w:pPr>
            <w:r>
              <w:rPr>
                <w:rFonts w:ascii="맑은 고딕" w:cs="맑은 고딕" w:eastAsia="맑은 고딕" w:hAnsi="맑은 고딕"/>
                <w:b/>
                <w:bCs/>
                <w:color w:val="B8860B"/>
                <w:sz w:val="24"/>
                <w:szCs w:val="24"/>
              </w:rPr>
              <w:t xml:space="preserve">⚠️ 주의사항</w:t>
            </w:r>
          </w:p>
          <w:p>
            <w:pPr>
              <w:spacing w:after="80"/>
              <w:jc w:val="center"/>
            </w:pPr>
            <w:r>
              <w:rPr>
                <w:rFonts w:ascii="맑은 고딕" w:cs="맑은 고딕" w:eastAsia="맑은 고딕" w:hAnsi="맑은 고딕"/>
                <w:sz w:val="22"/>
                <w:szCs w:val="22"/>
              </w:rPr>
              <w:t xml:space="preserve">본 자료는 학점은행제 과제 참고용 샘플입니다.</w:t>
            </w:r>
          </w:p>
          <w:p>
            <w:pPr>
              <w:spacing w:after="80"/>
              <w:jc w:val="center"/>
            </w:pPr>
            <w:r>
              <w:rPr>
                <w:rFonts w:ascii="맑은 고딕" w:cs="맑은 고딕" w:eastAsia="맑은 고딕" w:hAnsi="맑은 고딕"/>
                <w:sz w:val="22"/>
                <w:szCs w:val="22"/>
              </w:rPr>
              <w:t xml:space="preserve">위 학습 자료를 그대로 제출할 경우 모사율(표절률)로 인하여</w:t>
            </w:r>
          </w:p>
          <w:p>
            <w:pPr>
              <w:spacing w:after="80"/>
              <w:jc w:val="center"/>
            </w:pPr>
            <w:r>
              <w:rPr>
                <w:rFonts w:ascii="맑은 고딕" w:cs="맑은 고딕" w:eastAsia="맑은 고딕" w:hAnsi="맑은 고딕"/>
                <w:sz w:val="22"/>
                <w:szCs w:val="22"/>
              </w:rPr>
              <w:t xml:space="preserve">성적 불이익 또는 해당 과목 0점 처리될 수 있습니다.</w:t>
            </w:r>
          </w:p>
          <w:p>
            <w:pPr>
              <w:spacing w:after="160"/>
              <w:jc w:val="center"/>
            </w:pPr>
            <w:r>
              <w:rPr>
                <w:rFonts w:ascii="맑은 고딕" w:cs="맑은 고딕" w:eastAsia="맑은 고딕" w:hAnsi="맑은 고딕"/>
                <w:b/>
                <w:bCs/>
                <w:sz w:val="22"/>
                <w:szCs w:val="22"/>
              </w:rPr>
              <w:t xml:space="preserve">반드시 본인의 언어로 수정·재작성하여 제출하시기 바랍니다.</w:t>
            </w:r>
          </w:p>
        </w:tc>
      </w:tr>
    </w:tbl>
    <w:p>
      <w:pPr>
        <w:spacing w:after="3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000"/>
            <w:tcBorders>
              <w:top w:val="single" w:color="4472C4" w:sz="8"/>
              <w:left w:val="single" w:color="4472C4" w:sz="8"/>
              <w:bottom w:val="single" w:color="4472C4" w:sz="8"/>
              <w:right w:val="single" w:color="4472C4" w:sz="8"/>
            </w:tcBorders>
            <w:shd w:color="EEF4FF" w:val="clear"/>
          </w:tcPr>
          <w:p>
            <w:pPr>
              <w:spacing w:after="120" w:before="160"/>
              <w:jc w:val="center"/>
            </w:pPr>
            <w:r>
              <w:rPr>
                <w:rFonts w:ascii="맑은 고딕" w:cs="맑은 고딕" w:eastAsia="맑은 고딕" w:hAnsi="맑은 고딕"/>
                <w:b/>
                <w:bCs/>
                <w:color w:val="2E4A87"/>
                <w:sz w:val="24"/>
                <w:szCs w:val="24"/>
              </w:rPr>
              <w:t xml:space="preserve">📌 과제 수정이 어려우신가요?</w:t>
            </w:r>
          </w:p>
          <w:p>
            <w:pPr>
              <w:spacing w:after="80"/>
              <w:jc w:val="center"/>
            </w:pPr>
            <w:r>
              <w:rPr>
                <w:rFonts w:ascii="맑은 고딕" w:cs="맑은 고딕" w:eastAsia="맑은 고딕" w:hAnsi="맑은 고딕"/>
                <w:sz w:val="22"/>
                <w:szCs w:val="22"/>
              </w:rPr>
              <w:t xml:space="preserve">국민원격교육관리센터에서 1:1 과제 수정 도움을 드립니다.</w:t>
            </w:r>
          </w:p>
          <w:p>
            <w:pPr>
              <w:spacing w:after="160"/>
              <w:jc w:val="center"/>
            </w:pPr>
            <w:r>
              <w:rPr>
                <w:rFonts w:ascii="맑은 고딕" w:cs="맑은 고딕" w:eastAsia="맑은 고딕" w:hAnsi="맑은 고딕"/>
                <w:sz w:val="22"/>
                <w:szCs w:val="22"/>
              </w:rPr>
              <w:t xml:space="preserve">아래 연락처로 문의해 주세요.</w:t>
            </w:r>
          </w:p>
          <w:p>
            <w:pPr>
              <w:spacing w:after="80"/>
              <w:jc w:val="center"/>
            </w:pPr>
            <w:r>
              <w:rPr>
                <w:rFonts w:ascii="맑은 고딕" w:cs="맑은 고딕" w:eastAsia="맑은 고딕" w:hAnsi="맑은 고딕"/>
                <w:b/>
                <w:bCs/>
                <w:sz w:val="22"/>
                <w:szCs w:val="22"/>
              </w:rPr>
              <w:t xml:space="preserve">📞 전화: 050-7878-7044</w:t>
            </w:r>
          </w:p>
          <w:p>
            <w:pPr>
              <w:spacing w:after="80"/>
              <w:jc w:val="center"/>
            </w:pPr>
            <w:r>
              <w:rPr>
                <w:rFonts w:ascii="맑은 고딕" w:cs="맑은 고딕" w:eastAsia="맑은 고딕" w:hAnsi="맑은 고딕"/>
                <w:b/>
                <w:bCs/>
                <w:sz w:val="22"/>
                <w:szCs w:val="22"/>
              </w:rPr>
              <w:t xml:space="preserve">💬 카카오톡: @국민원격교육관리센터</w:t>
            </w:r>
          </w:p>
          <w:p>
            <w:pPr>
              <w:spacing w:after="80"/>
              <w:jc w:val="center"/>
            </w:pPr>
            <w:r>
              <w:rPr>
                <w:rFonts w:ascii="맑은 고딕" w:cs="맑은 고딕" w:eastAsia="맑은 고딕" w:hAnsi="맑은 고딕"/>
                <w:sz w:val="22"/>
                <w:szCs w:val="22"/>
              </w:rPr>
              <w:t xml:space="preserve">🕐 운영시간: 평일 10:00–19:00</w:t>
            </w:r>
          </w:p>
          <w:p>
            <w:pPr>
              <w:spacing w:after="160"/>
              <w:jc w:val="center"/>
            </w:pPr>
            <w:r>
              <w:rPr>
                <w:rFonts w:ascii="맑은 고딕" w:cs="맑은 고딕" w:eastAsia="맑은 고딕" w:hAnsi="맑은 고딕"/>
                <w:sz w:val="22"/>
                <w:szCs w:val="22"/>
              </w:rPr>
              <w:t xml:space="preserve">🌐 웹사이트: korealms.co.kr</w:t>
            </w:r>
          </w:p>
        </w:tc>
      </w:tr>
    </w:tbl>
    <w:sectPr>
      <w:pgSz w:w="12240" w:h="17280" w:orient="portrait"/>
      <w:pgMar w:top="1440" w:right="1440"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2026-07-20T09:27:08.238Z</dcterms:created>
  <dcterms:modified xsi:type="dcterms:W3CDTF">2026-07-20T09:27:08.254Z</dcterms:modified>
</cp:coreProperties>
</file>

<file path=docProps/custom.xml><?xml version="1.0" encoding="utf-8"?>
<Properties xmlns="http://schemas.openxmlformats.org/officeDocument/2006/custom-properties" xmlns:vt="http://schemas.openxmlformats.org/officeDocument/2006/docPropsVTypes"/>
</file>