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
    <w:p/>
    <w:p>
      <w:pPr>
        <w:spacing w:after="440"/>
        <w:jc w:val="center"/>
      </w:pPr>
      <w:r>
        <w:rPr>
          <w:rFonts w:ascii="Noto Sans CJK KR" w:hAnsi="Noto Sans CJK KR" w:eastAsia="Noto Sans CJK KR"/>
          <w:b/>
          <w:color w:val="404040"/>
          <w:sz w:val="28"/>
        </w:rPr>
        <w:t>자료선택 구성론</w:t>
      </w:r>
    </w:p>
    <w:p>
      <w:pPr>
        <w:pStyle w:val="Title"/>
        <w:spacing w:line="283" w:lineRule="auto" w:after="680"/>
        <w:jc w:val="center"/>
      </w:pPr>
      <w:r>
        <w:rPr>
          <w:rFonts w:ascii="Noto Sans CJK KR" w:hAnsi="Noto Sans CJK KR" w:eastAsia="Noto Sans CJK KR"/>
          <w:b/>
          <w:color w:val="000000"/>
          <w:sz w:val="48"/>
        </w:rPr>
        <w:t>도서관 장서관리와</w:t>
        <w:br/>
        <w:t>국가발전 사이의 상관관계</w:t>
      </w:r>
    </w:p>
    <w:p>
      <w:pPr>
        <w:spacing w:after="1080"/>
        <w:jc w:val="center"/>
      </w:pPr>
      <w:r>
        <w:rPr>
          <w:rFonts w:ascii="Noto Sans CJK KR" w:hAnsi="Noto Sans CJK KR" w:eastAsia="Noto Sans CJK KR"/>
          <w:b w:val="0"/>
          <w:color w:val="666666"/>
          <w:sz w:val="21"/>
        </w:rPr>
        <w:t>문헌정보 분야 과제 참고용 샘플</w:t>
      </w:r>
    </w:p>
    <w:tbl>
      <w:tblPr>
        <w:tblW w:type="auto" w:w="0"/>
        <w:jc w:val="center"/>
        <w:tblLayout w:type="fixed"/>
        <w:tblLook w:firstColumn="1" w:firstRow="1" w:lastColumn="0" w:lastRow="0" w:noHBand="0" w:noVBand="1" w:val="04A0"/>
      </w:tblPr>
      <w:tblGrid>
        <w:gridCol w:w="8064"/>
      </w:tblGrid>
      <w:tr>
        <w:trPr>
          <w:tblHeader w:val="true"/>
        </w:trPr>
        <w:tc>
          <w:tcPr>
            <w:tcW w:type="dxa" w:w="8064"/>
            <w:vAlign w:val="center"/>
            <w:shd w:fill="F3F5F7"/>
            <w:tcMar>
              <w:top w:w="220" w:type="dxa"/>
              <w:start w:w="320" w:type="dxa"/>
              <w:bottom w:w="220" w:type="dxa"/>
              <w:end w:w="320" w:type="dxa"/>
            </w:tcMar>
          </w:tcPr>
          <w:p>
            <w:pPr>
              <w:spacing w:after="200"/>
            </w:pPr>
            <w:r>
              <w:rPr>
                <w:rFonts w:ascii="Noto Sans CJK KR" w:hAnsi="Noto Sans CJK KR" w:eastAsia="Noto Sans CJK KR"/>
                <w:b/>
                <w:color w:val="000000"/>
                <w:sz w:val="24"/>
              </w:rPr>
              <w:t>목차</w:t>
            </w:r>
          </w:p>
          <w:p>
            <w:pPr>
              <w:spacing w:after="80"/>
            </w:pPr>
            <w:r>
              <w:rPr>
                <w:rFonts w:ascii="Noto Sans CJK KR" w:hAnsi="Noto Sans CJK KR" w:eastAsia="Noto Sans CJK KR"/>
                <w:color w:val="000000"/>
                <w:sz w:val="21"/>
              </w:rPr>
              <w:t>Ⅰ. 서론</w:t>
            </w:r>
          </w:p>
          <w:p>
            <w:pPr>
              <w:spacing w:after="80"/>
            </w:pPr>
            <w:r>
              <w:rPr>
                <w:rFonts w:ascii="Noto Sans CJK KR" w:hAnsi="Noto Sans CJK KR" w:eastAsia="Noto Sans CJK KR"/>
                <w:color w:val="000000"/>
                <w:sz w:val="21"/>
              </w:rPr>
              <w:t>Ⅱ. 본론</w:t>
            </w:r>
          </w:p>
          <w:p>
            <w:pPr>
              <w:spacing w:after="80"/>
            </w:pPr>
            <w:r>
              <w:rPr>
                <w:rFonts w:ascii="Noto Sans CJK KR" w:hAnsi="Noto Sans CJK KR" w:eastAsia="Noto Sans CJK KR"/>
                <w:color w:val="000000"/>
                <w:sz w:val="21"/>
              </w:rPr>
              <w:t xml:space="preserve">   1. 장서관리와 국가발전의 개념적 연결</w:t>
            </w:r>
          </w:p>
          <w:p>
            <w:pPr>
              <w:spacing w:after="80"/>
            </w:pPr>
            <w:r>
              <w:rPr>
                <w:rFonts w:ascii="Noto Sans CJK KR" w:hAnsi="Noto Sans CJK KR" w:eastAsia="Noto Sans CJK KR"/>
                <w:color w:val="000000"/>
                <w:sz w:val="21"/>
              </w:rPr>
              <w:t xml:space="preserve">   2. 장서관리가 국가발전에 기여하는 경로</w:t>
            </w:r>
          </w:p>
          <w:p>
            <w:pPr>
              <w:spacing w:after="80"/>
            </w:pPr>
            <w:r>
              <w:rPr>
                <w:rFonts w:ascii="Noto Sans CJK KR" w:hAnsi="Noto Sans CJK KR" w:eastAsia="Noto Sans CJK KR"/>
                <w:color w:val="000000"/>
                <w:sz w:val="21"/>
              </w:rPr>
              <w:t xml:space="preserve">   3. 국가발전이 장서관리에 미치는 영향과 한계</w:t>
            </w:r>
          </w:p>
          <w:p>
            <w:pPr>
              <w:spacing w:after="80"/>
            </w:pPr>
            <w:r>
              <w:rPr>
                <w:rFonts w:ascii="Noto Sans CJK KR" w:hAnsi="Noto Sans CJK KR" w:eastAsia="Noto Sans CJK KR"/>
                <w:color w:val="000000"/>
                <w:sz w:val="21"/>
              </w:rPr>
              <w:t>Ⅲ. 결론</w:t>
            </w:r>
          </w:p>
          <w:p>
            <w:pPr>
              <w:spacing w:after="80"/>
            </w:pPr>
            <w:r>
              <w:rPr>
                <w:rFonts w:ascii="Noto Sans CJK KR" w:hAnsi="Noto Sans CJK KR" w:eastAsia="Noto Sans CJK KR"/>
                <w:color w:val="000000"/>
                <w:sz w:val="21"/>
              </w:rPr>
              <w:t>참고문헌</w:t>
            </w:r>
          </w:p>
        </w:tc>
      </w:tr>
    </w:tbl>
    <w:p>
      <w:r>
        <w:br w:type="page"/>
      </w:r>
    </w:p>
    <w:p>
      <w:pPr>
        <w:pStyle w:val="Heading1"/>
        <w:keepNext/>
      </w:pPr>
      <w:r>
        <w:rPr>
          <w:rFonts w:ascii="Noto Sans CJK KR" w:hAnsi="Noto Sans CJK KR" w:eastAsia="Noto Sans CJK KR"/>
          <w:b/>
          <w:color w:val="000000"/>
          <w:sz w:val="32"/>
        </w:rPr>
        <w:t>Ⅰ. 서론</w:t>
      </w:r>
    </w:p>
    <w:p>
      <w:pPr>
        <w:widowControl/>
        <w:spacing w:line="360" w:lineRule="auto" w:after="140"/>
        <w:ind w:firstLine="403"/>
        <w:jc w:val="both"/>
      </w:pPr>
      <w:r>
        <w:rPr>
          <w:rFonts w:ascii="Noto Sans CJK KR" w:hAnsi="Noto Sans CJK KR" w:eastAsia="Noto Sans CJK KR"/>
          <w:color w:val="000000"/>
          <w:sz w:val="21"/>
        </w:rPr>
        <w:t>국가발전은 경제규모의 확대만을 뜻하지 않는다. 국민의 지식과 기술이 축적되고, 사회 구성원이 공공문제에 참여하며, 문화적 다양성과 공동체의 기억이 다음 세대로 이어지는 과정도 국가발전의 핵심 요소이다. 이러한 관점에서 도서관은 책을 보관하고 대출하는 시설을 넘어 지식자원을 사회적으로 배분하는 기반기관으로 볼 수 있다. 특히 도서관의 성과는 건물의 규모나 소장 권수만으로 결정되지 않는다. 어떤 자료를 선정하고, 중복과 결손을 조정하며, 보존과 폐기를 결정하고, 이용 가능한 형태로 조직하는지에 따라 장서의 공공적 가치가 달라진다.</w:t>
      </w:r>
    </w:p>
    <w:p>
      <w:pPr>
        <w:widowControl/>
        <w:spacing w:line="360" w:lineRule="auto" w:after="140"/>
        <w:ind w:firstLine="403"/>
        <w:jc w:val="both"/>
      </w:pPr>
      <w:r>
        <w:rPr>
          <w:rFonts w:ascii="Noto Sans CJK KR" w:hAnsi="Noto Sans CJK KR" w:eastAsia="Noto Sans CJK KR"/>
          <w:color w:val="000000"/>
          <w:sz w:val="21"/>
        </w:rPr>
        <w:t>장서관리는 이용자와 지역사회의 정보요구를 분석하여 자료를 선정·수집하고, 예산을 배분하며, 장서를 평가·보존·폐기하는 일련의 정책적 활동이다. 따라서 장서관리는 단순한 자료 구입 업무가 아니라 한정된 자원을 어떤 지식에 우선 배분할 것인가를 결정하는 공공적 선택이다. 예컨대 지역의 산업구조와 교육 수준, 연령 구성, 이주민 비율, 장애인의 접근 요구가 다른데도 모든 도서관이 동일한 자료만 갖춘다면 장서의 양이 늘어도 실제 정보격차는 줄지 않을 수 있다. 반대로 지역문제를 반영한 자료와 디지털 접근수단을 함께 제공하면 장서는 교육·고용·복지·문화정책을 연결하는 기반이 된다.</w:t>
      </w:r>
    </w:p>
    <w:p>
      <w:pPr>
        <w:widowControl/>
        <w:spacing w:line="360" w:lineRule="auto" w:after="140"/>
        <w:ind w:firstLine="403"/>
        <w:jc w:val="both"/>
      </w:pPr>
      <w:r>
        <w:rPr>
          <w:rFonts w:ascii="Noto Sans CJK KR" w:hAnsi="Noto Sans CJK KR" w:eastAsia="Noto Sans CJK KR"/>
          <w:color w:val="000000"/>
          <w:sz w:val="21"/>
        </w:rPr>
        <w:t>본 글은 도서관 장서관리와 국가발전 사이에 대체로 정적 상관관계가 존재한다고 본다. 체계적인 장서관리는 인적자본 형성, 연구와 혁신, 정보격차 완화, 문화유산 보존, 시민사회의 숙의 능력을 높여 국가발전에 기여한다. 동시에 국가의 경제력, 교육 수준, 정보통신 인프라, 문화정책과 법·제도는 도서관의 예산 및 전문성을 강화하므로 인과관계는 한 방향이 아니라 상호순환적이다. 다만 장서량 증가가 자동으로 발전을 낳는 것은 아니다. 자료의 적합성, 접근성, 최신성, 다양성, 전문인력과 이용교육이 함께 확보될 때 상관관계가 실질적 성과로 전환된다.</w:t>
      </w:r>
    </w:p>
    <w:p>
      <w:pPr>
        <w:pStyle w:val="Heading2"/>
        <w:keepNext/>
      </w:pPr>
      <w:r>
        <w:rPr>
          <w:rFonts w:ascii="Noto Sans CJK KR" w:hAnsi="Noto Sans CJK KR" w:eastAsia="Noto Sans CJK KR"/>
          <w:b/>
          <w:color w:val="000000"/>
          <w:sz w:val="25"/>
        </w:rPr>
        <w:t>연구의 관점과 범위</w:t>
      </w:r>
    </w:p>
    <w:p>
      <w:pPr>
        <w:widowControl/>
        <w:spacing w:line="360" w:lineRule="auto" w:after="140"/>
        <w:ind w:firstLine="403"/>
        <w:jc w:val="both"/>
      </w:pPr>
      <w:r>
        <w:rPr>
          <w:rFonts w:ascii="Noto Sans CJK KR" w:hAnsi="Noto Sans CJK KR" w:eastAsia="Noto Sans CJK KR"/>
          <w:color w:val="000000"/>
          <w:sz w:val="21"/>
        </w:rPr>
        <w:t>분석 범위는 공공도서관을 중심으로 하되 학교·대학·전문도서관과 국가도서관의 기능을 함께 고려한다. 국가발전의 지표는 경제성장에 한정하지 않고 교육역량, 연구혁신, 사회통합, 문화적 지속가능성, 민주적 거버넌스를 포함한다. 이와 같은 다차원적 접근은 도서관의 효과가 단기간의 금전적 수익보다 장기간에 걸친 지식의 축적과 사회적 신뢰 형성으로 나타난다는 특성을 반영한다.</w:t>
      </w:r>
    </w:p>
    <w:p>
      <w:pPr>
        <w:pStyle w:val="Heading1"/>
        <w:keepNext/>
      </w:pPr>
      <w:r>
        <w:rPr>
          <w:rFonts w:ascii="Noto Sans CJK KR" w:hAnsi="Noto Sans CJK KR" w:eastAsia="Noto Sans CJK KR"/>
          <w:b/>
          <w:color w:val="000000"/>
          <w:sz w:val="32"/>
        </w:rPr>
        <w:t>Ⅱ. 본론</w:t>
      </w:r>
    </w:p>
    <w:p>
      <w:pPr>
        <w:pStyle w:val="Heading2"/>
        <w:keepNext/>
      </w:pPr>
      <w:r>
        <w:rPr>
          <w:rFonts w:ascii="Noto Sans CJK KR" w:hAnsi="Noto Sans CJK KR" w:eastAsia="Noto Sans CJK KR"/>
          <w:b/>
          <w:color w:val="000000"/>
          <w:sz w:val="25"/>
        </w:rPr>
        <w:t>1. 장서관리와 국가발전의 개념적 연결</w:t>
      </w:r>
    </w:p>
    <w:p>
      <w:pPr>
        <w:widowControl/>
        <w:spacing w:line="360" w:lineRule="auto" w:after="140"/>
        <w:ind w:firstLine="403"/>
        <w:jc w:val="both"/>
      </w:pPr>
      <w:r>
        <w:rPr>
          <w:rFonts w:ascii="Noto Sans CJK KR" w:hAnsi="Noto Sans CJK KR" w:eastAsia="Noto Sans CJK KR"/>
          <w:color w:val="000000"/>
          <w:sz w:val="21"/>
        </w:rPr>
        <w:t>장서는 이용 가능한 지식의 범위를 정한다. 장서개발정책은 기관의 사명과 이용자 요구를 바탕으로 주제별·매체별 수집 수준, 선정 기준, 기증자료 처리, 보존 및 폐기 원칙을 문서화한다. 이 정책이 명확하면 담당자의 개인적 선호나 일시적 유행에 좌우되지 않고 장기적 일관성을 유지할 수 있다. 또한 장서평가를 통해 이용률, 최신성, 주제별 결손, 이용자 만족도와 접근 장애를 확인하면 예산을 근거 있게 재배분할 수 있다. 이런 과정은 공공재정의 효율성뿐 아니라 국민에게 필요한 정보가 적시에 공급될 가능성을 높인다.</w:t>
      </w:r>
    </w:p>
    <w:p>
      <w:pPr>
        <w:widowControl/>
        <w:spacing w:line="360" w:lineRule="auto" w:after="140"/>
        <w:ind w:firstLine="403"/>
        <w:jc w:val="both"/>
      </w:pPr>
      <w:r>
        <w:rPr>
          <w:rFonts w:ascii="Noto Sans CJK KR" w:hAnsi="Noto Sans CJK KR" w:eastAsia="Noto Sans CJK KR"/>
          <w:color w:val="000000"/>
          <w:sz w:val="21"/>
        </w:rPr>
        <w:t>국가발전 이론에서 지식은 생산성과 제도 역량을 높이는 핵심 자원이다. 그러나 지식은 생산되었다는 사실만으로 사회 전체에 확산되지 않는다. 가격, 거리, 언어, 장애, 디지털 기기와 정보활용능력의 차이가 접근을 제한하기 때문이다. 도서관은 상업시장에서 충분히 공급되지 않는 자료를 공동재원으로 확보하고 누구나 이용하도록 제공함으로써 지식의 확산비용을 낮춘다. 즉, 장서관리는 개인이 부담하기 어려운 탐색비용과 구입비용을 사회적으로 분담하게 하는 장치이며, 이는 교육과 노동시장 참여의 기회를 넓히는 방향으로 작동한다.</w:t>
      </w:r>
    </w:p>
    <w:p>
      <w:pPr>
        <w:widowControl/>
        <w:spacing w:line="360" w:lineRule="auto" w:after="140"/>
        <w:ind w:firstLine="403"/>
        <w:jc w:val="both"/>
      </w:pPr>
      <w:r>
        <w:rPr>
          <w:rFonts w:ascii="Noto Sans CJK KR" w:hAnsi="Noto Sans CJK KR" w:eastAsia="Noto Sans CJK KR"/>
          <w:color w:val="000000"/>
          <w:sz w:val="21"/>
        </w:rPr>
        <w:t>상관관계를 이해할 때에는 투입·과정·산출·성과를 구분해야 한다. 장서구입비와 전문인력은 투입이고, 요구조사·선정·조직·보존은 과정이며, 소장자료 수·대출·전자자료 이용은 산출이다. 국가발전과 연결되는 것은 시민의 학습역량 향상, 연구시간 단축, 취업정보 접근, 문화향유 확대와 같은 성과이다. 따라서 단순히 ‘책이 많은 국가가 발전한다’고 해석하면 제3의 변수와 역인과성을 놓치게 된다. 교육수준과 재정이 높은 국가가 도서관에 더 투자할 수 있기 때문이다. 보다 타당한 해석은 적절한 제도와 서비스가 갖추어진 환경에서 장서관리가 지식 접근을 매개하여 발전성과에 기여한다는 것이다.</w:t>
      </w:r>
    </w:p>
    <w:tbl>
      <w:tblPr>
        <w:tblW w:type="auto" w:w="0"/>
        <w:jc w:val="center"/>
        <w:tblLayout w:type="fixed"/>
        <w:tblLook w:firstColumn="1" w:firstRow="1" w:lastColumn="0" w:lastRow="0" w:noHBand="0" w:noVBand="1" w:val="04A0"/>
      </w:tblPr>
      <w:tblGrid>
        <w:gridCol w:w="2441"/>
        <w:gridCol w:w="2441"/>
        <w:gridCol w:w="2441"/>
        <w:gridCol w:w="2441"/>
      </w:tblGrid>
      <w:tr>
        <w:trPr>
          <w:tblHeader w:val="true"/>
        </w:trPr>
        <w:tc>
          <w:tcPr>
            <w:tcW w:type="dxa" w:w="1728"/>
            <w:shd w:fill="233B5D"/>
            <w:tcMar>
              <w:top w:w="100" w:type="dxa"/>
              <w:start w:w="120" w:type="dxa"/>
              <w:bottom w:w="100" w:type="dxa"/>
              <w:end w:w="120" w:type="dxa"/>
            </w:tcMar>
          </w:tcPr>
          <w:p>
            <w:pPr>
              <w:jc w:val="center"/>
            </w:pPr>
            <w:r>
              <w:rPr>
                <w:rFonts w:ascii="Noto Sans CJK KR" w:hAnsi="Noto Sans CJK KR" w:eastAsia="Noto Sans CJK KR"/>
                <w:b/>
                <w:color w:val="FFFFFF"/>
                <w:sz w:val="18"/>
              </w:rPr>
              <w:t>구분</w:t>
            </w:r>
          </w:p>
        </w:tc>
        <w:tc>
          <w:tcPr>
            <w:tcW w:type="dxa" w:w="2376"/>
            <w:shd w:fill="233B5D"/>
            <w:tcMar>
              <w:top w:w="100" w:type="dxa"/>
              <w:start w:w="120" w:type="dxa"/>
              <w:bottom w:w="100" w:type="dxa"/>
              <w:end w:w="120" w:type="dxa"/>
            </w:tcMar>
          </w:tcPr>
          <w:p>
            <w:pPr>
              <w:jc w:val="center"/>
            </w:pPr>
            <w:r>
              <w:rPr>
                <w:rFonts w:ascii="Noto Sans CJK KR" w:hAnsi="Noto Sans CJK KR" w:eastAsia="Noto Sans CJK KR"/>
                <w:b/>
                <w:color w:val="FFFFFF"/>
                <w:sz w:val="18"/>
              </w:rPr>
              <w:t>핵심 요소</w:t>
            </w:r>
          </w:p>
        </w:tc>
        <w:tc>
          <w:tcPr>
            <w:tcW w:type="dxa" w:w="2088"/>
            <w:shd w:fill="233B5D"/>
            <w:tcMar>
              <w:top w:w="100" w:type="dxa"/>
              <w:start w:w="120" w:type="dxa"/>
              <w:bottom w:w="100" w:type="dxa"/>
              <w:end w:w="120" w:type="dxa"/>
            </w:tcMar>
          </w:tcPr>
          <w:p>
            <w:pPr>
              <w:jc w:val="center"/>
            </w:pPr>
            <w:r>
              <w:rPr>
                <w:rFonts w:ascii="Noto Sans CJK KR" w:hAnsi="Noto Sans CJK KR" w:eastAsia="Noto Sans CJK KR"/>
                <w:b/>
                <w:color w:val="FFFFFF"/>
                <w:sz w:val="18"/>
              </w:rPr>
              <w:t>직접 산출</w:t>
            </w:r>
          </w:p>
        </w:tc>
        <w:tc>
          <w:tcPr>
            <w:tcW w:type="dxa" w:w="2880"/>
            <w:shd w:fill="233B5D"/>
            <w:tcMar>
              <w:top w:w="100" w:type="dxa"/>
              <w:start w:w="120" w:type="dxa"/>
              <w:bottom w:w="100" w:type="dxa"/>
              <w:end w:w="120" w:type="dxa"/>
            </w:tcMar>
          </w:tcPr>
          <w:p>
            <w:pPr>
              <w:jc w:val="center"/>
            </w:pPr>
            <w:r>
              <w:rPr>
                <w:rFonts w:ascii="Noto Sans CJK KR" w:hAnsi="Noto Sans CJK KR" w:eastAsia="Noto Sans CJK KR"/>
                <w:b/>
                <w:color w:val="FFFFFF"/>
                <w:sz w:val="18"/>
              </w:rPr>
              <w:t>국가발전 성과</w:t>
            </w:r>
          </w:p>
        </w:tc>
      </w:tr>
      <w:tr>
        <w:tc>
          <w:tcPr>
            <w:tcW w:type="dxa" w:w="1728"/>
            <w:tcMar>
              <w:top w:w="100" w:type="dxa"/>
              <w:start w:w="120" w:type="dxa"/>
              <w:bottom w:w="100" w:type="dxa"/>
              <w:end w:w="120" w:type="dxa"/>
            </w:tcMar>
            <w:shd w:fill="FFFFFF"/>
            <w:vAlign w:val="center"/>
          </w:tcPr>
          <w:p>
            <w:pPr>
              <w:jc w:val="center"/>
            </w:pPr>
            <w:r>
              <w:rPr>
                <w:rFonts w:ascii="Noto Sans CJK KR" w:hAnsi="Noto Sans CJK KR" w:eastAsia="Noto Sans CJK KR"/>
                <w:color w:val="000000"/>
                <w:sz w:val="17"/>
              </w:rPr>
              <w:t>투입</w:t>
            </w:r>
          </w:p>
        </w:tc>
        <w:tc>
          <w:tcPr>
            <w:tcW w:type="dxa" w:w="2376"/>
            <w:tcMar>
              <w:top w:w="100" w:type="dxa"/>
              <w:start w:w="120" w:type="dxa"/>
              <w:bottom w:w="100" w:type="dxa"/>
              <w:end w:w="120" w:type="dxa"/>
            </w:tcMar>
            <w:shd w:fill="FFFFFF"/>
            <w:vAlign w:val="center"/>
          </w:tcPr>
          <w:p>
            <w:pPr>
              <w:jc w:val="left"/>
            </w:pPr>
            <w:r>
              <w:rPr>
                <w:rFonts w:ascii="Noto Sans CJK KR" w:hAnsi="Noto Sans CJK KR" w:eastAsia="Noto Sans CJK KR"/>
                <w:color w:val="000000"/>
                <w:sz w:val="17"/>
              </w:rPr>
              <w:t>예산·인력·시설</w:t>
            </w:r>
          </w:p>
        </w:tc>
        <w:tc>
          <w:tcPr>
            <w:tcW w:type="dxa" w:w="2088"/>
            <w:tcMar>
              <w:top w:w="100" w:type="dxa"/>
              <w:start w:w="120" w:type="dxa"/>
              <w:bottom w:w="100" w:type="dxa"/>
              <w:end w:w="120" w:type="dxa"/>
            </w:tcMar>
            <w:shd w:fill="FFFFFF"/>
            <w:vAlign w:val="center"/>
          </w:tcPr>
          <w:p>
            <w:pPr>
              <w:jc w:val="left"/>
            </w:pPr>
            <w:r>
              <w:rPr>
                <w:rFonts w:ascii="Noto Sans CJK KR" w:hAnsi="Noto Sans CJK KR" w:eastAsia="Noto Sans CJK KR"/>
                <w:color w:val="000000"/>
                <w:sz w:val="17"/>
              </w:rPr>
              <w:t>수집 기반 확보</w:t>
            </w:r>
          </w:p>
        </w:tc>
        <w:tc>
          <w:tcPr>
            <w:tcW w:type="dxa" w:w="2880"/>
            <w:tcMar>
              <w:top w:w="100" w:type="dxa"/>
              <w:start w:w="120" w:type="dxa"/>
              <w:bottom w:w="100" w:type="dxa"/>
              <w:end w:w="120" w:type="dxa"/>
            </w:tcMar>
            <w:shd w:fill="FFFFFF"/>
            <w:vAlign w:val="center"/>
          </w:tcPr>
          <w:p>
            <w:pPr>
              <w:jc w:val="left"/>
            </w:pPr>
            <w:r>
              <w:rPr>
                <w:rFonts w:ascii="Noto Sans CJK KR" w:hAnsi="Noto Sans CJK KR" w:eastAsia="Noto Sans CJK KR"/>
                <w:color w:val="000000"/>
                <w:sz w:val="17"/>
              </w:rPr>
              <w:t>지식 인프라 형성</w:t>
            </w:r>
          </w:p>
        </w:tc>
      </w:tr>
      <w:tr>
        <w:tc>
          <w:tcPr>
            <w:tcW w:type="dxa" w:w="1728"/>
            <w:tcMar>
              <w:top w:w="100" w:type="dxa"/>
              <w:start w:w="120" w:type="dxa"/>
              <w:bottom w:w="100" w:type="dxa"/>
              <w:end w:w="120" w:type="dxa"/>
            </w:tcMar>
            <w:shd w:fill="F5F8FC"/>
            <w:vAlign w:val="center"/>
          </w:tcPr>
          <w:p>
            <w:pPr>
              <w:jc w:val="center"/>
            </w:pPr>
            <w:r>
              <w:rPr>
                <w:rFonts w:ascii="Noto Sans CJK KR" w:hAnsi="Noto Sans CJK KR" w:eastAsia="Noto Sans CJK KR"/>
                <w:color w:val="000000"/>
                <w:sz w:val="17"/>
              </w:rPr>
              <w:t>관리 과정</w:t>
            </w:r>
          </w:p>
        </w:tc>
        <w:tc>
          <w:tcPr>
            <w:tcW w:type="dxa" w:w="2376"/>
            <w:tcMar>
              <w:top w:w="100" w:type="dxa"/>
              <w:start w:w="120" w:type="dxa"/>
              <w:bottom w:w="100" w:type="dxa"/>
              <w:end w:w="120" w:type="dxa"/>
            </w:tcMar>
            <w:shd w:fill="F5F8FC"/>
            <w:vAlign w:val="center"/>
          </w:tcPr>
          <w:p>
            <w:pPr>
              <w:jc w:val="left"/>
            </w:pPr>
            <w:r>
              <w:rPr>
                <w:rFonts w:ascii="Noto Sans CJK KR" w:hAnsi="Noto Sans CJK KR" w:eastAsia="Noto Sans CJK KR"/>
                <w:color w:val="000000"/>
                <w:sz w:val="17"/>
              </w:rPr>
              <w:t>선정·평가·보존</w:t>
            </w:r>
          </w:p>
        </w:tc>
        <w:tc>
          <w:tcPr>
            <w:tcW w:type="dxa" w:w="2088"/>
            <w:tcMar>
              <w:top w:w="100" w:type="dxa"/>
              <w:start w:w="120" w:type="dxa"/>
              <w:bottom w:w="100" w:type="dxa"/>
              <w:end w:w="120" w:type="dxa"/>
            </w:tcMar>
            <w:shd w:fill="F5F8FC"/>
            <w:vAlign w:val="center"/>
          </w:tcPr>
          <w:p>
            <w:pPr>
              <w:jc w:val="left"/>
            </w:pPr>
            <w:r>
              <w:rPr>
                <w:rFonts w:ascii="Noto Sans CJK KR" w:hAnsi="Noto Sans CJK KR" w:eastAsia="Noto Sans CJK KR"/>
                <w:color w:val="000000"/>
                <w:sz w:val="17"/>
              </w:rPr>
              <w:t>적합성과 신뢰성</w:t>
            </w:r>
          </w:p>
        </w:tc>
        <w:tc>
          <w:tcPr>
            <w:tcW w:type="dxa" w:w="2880"/>
            <w:tcMar>
              <w:top w:w="100" w:type="dxa"/>
              <w:start w:w="120" w:type="dxa"/>
              <w:bottom w:w="100" w:type="dxa"/>
              <w:end w:w="120" w:type="dxa"/>
            </w:tcMar>
            <w:shd w:fill="F5F8FC"/>
            <w:vAlign w:val="center"/>
          </w:tcPr>
          <w:p>
            <w:pPr>
              <w:jc w:val="left"/>
            </w:pPr>
            <w:r>
              <w:rPr>
                <w:rFonts w:ascii="Noto Sans CJK KR" w:hAnsi="Noto Sans CJK KR" w:eastAsia="Noto Sans CJK KR"/>
                <w:color w:val="000000"/>
                <w:sz w:val="17"/>
              </w:rPr>
              <w:t>학습·연구 효율 향상</w:t>
            </w:r>
          </w:p>
        </w:tc>
      </w:tr>
      <w:tr>
        <w:tc>
          <w:tcPr>
            <w:tcW w:type="dxa" w:w="1728"/>
            <w:tcMar>
              <w:top w:w="100" w:type="dxa"/>
              <w:start w:w="120" w:type="dxa"/>
              <w:bottom w:w="100" w:type="dxa"/>
              <w:end w:w="120" w:type="dxa"/>
            </w:tcMar>
            <w:shd w:fill="FFFFFF"/>
            <w:vAlign w:val="center"/>
          </w:tcPr>
          <w:p>
            <w:pPr>
              <w:jc w:val="center"/>
            </w:pPr>
            <w:r>
              <w:rPr>
                <w:rFonts w:ascii="Noto Sans CJK KR" w:hAnsi="Noto Sans CJK KR" w:eastAsia="Noto Sans CJK KR"/>
                <w:color w:val="000000"/>
                <w:sz w:val="17"/>
              </w:rPr>
              <w:t>접근 서비스</w:t>
            </w:r>
          </w:p>
        </w:tc>
        <w:tc>
          <w:tcPr>
            <w:tcW w:type="dxa" w:w="2376"/>
            <w:tcMar>
              <w:top w:w="100" w:type="dxa"/>
              <w:start w:w="120" w:type="dxa"/>
              <w:bottom w:w="100" w:type="dxa"/>
              <w:end w:w="120" w:type="dxa"/>
            </w:tcMar>
            <w:shd w:fill="FFFFFF"/>
            <w:vAlign w:val="center"/>
          </w:tcPr>
          <w:p>
            <w:pPr>
              <w:jc w:val="left"/>
            </w:pPr>
            <w:r>
              <w:rPr>
                <w:rFonts w:ascii="Noto Sans CJK KR" w:hAnsi="Noto Sans CJK KR" w:eastAsia="Noto Sans CJK KR"/>
                <w:color w:val="000000"/>
                <w:sz w:val="17"/>
              </w:rPr>
              <w:t>조직·디지털화·협력</w:t>
            </w:r>
          </w:p>
        </w:tc>
        <w:tc>
          <w:tcPr>
            <w:tcW w:type="dxa" w:w="2088"/>
            <w:tcMar>
              <w:top w:w="100" w:type="dxa"/>
              <w:start w:w="120" w:type="dxa"/>
              <w:bottom w:w="100" w:type="dxa"/>
              <w:end w:w="120" w:type="dxa"/>
            </w:tcMar>
            <w:shd w:fill="FFFFFF"/>
            <w:vAlign w:val="center"/>
          </w:tcPr>
          <w:p>
            <w:pPr>
              <w:jc w:val="left"/>
            </w:pPr>
            <w:r>
              <w:rPr>
                <w:rFonts w:ascii="Noto Sans CJK KR" w:hAnsi="Noto Sans CJK KR" w:eastAsia="Noto Sans CJK KR"/>
                <w:color w:val="000000"/>
                <w:sz w:val="17"/>
              </w:rPr>
              <w:t>검색·이용 확대</w:t>
            </w:r>
          </w:p>
        </w:tc>
        <w:tc>
          <w:tcPr>
            <w:tcW w:type="dxa" w:w="2880"/>
            <w:tcMar>
              <w:top w:w="100" w:type="dxa"/>
              <w:start w:w="120" w:type="dxa"/>
              <w:bottom w:w="100" w:type="dxa"/>
              <w:end w:w="120" w:type="dxa"/>
            </w:tcMar>
            <w:shd w:fill="FFFFFF"/>
            <w:vAlign w:val="center"/>
          </w:tcPr>
          <w:p>
            <w:pPr>
              <w:jc w:val="left"/>
            </w:pPr>
            <w:r>
              <w:rPr>
                <w:rFonts w:ascii="Noto Sans CJK KR" w:hAnsi="Noto Sans CJK KR" w:eastAsia="Noto Sans CJK KR"/>
                <w:color w:val="000000"/>
                <w:sz w:val="17"/>
              </w:rPr>
              <w:t>정보격차 완화</w:t>
            </w:r>
          </w:p>
        </w:tc>
      </w:tr>
      <w:tr>
        <w:tc>
          <w:tcPr>
            <w:tcW w:type="dxa" w:w="1728"/>
            <w:tcMar>
              <w:top w:w="100" w:type="dxa"/>
              <w:start w:w="120" w:type="dxa"/>
              <w:bottom w:w="100" w:type="dxa"/>
              <w:end w:w="120" w:type="dxa"/>
            </w:tcMar>
            <w:shd w:fill="F5F8FC"/>
            <w:vAlign w:val="center"/>
          </w:tcPr>
          <w:p>
            <w:pPr>
              <w:jc w:val="center"/>
            </w:pPr>
            <w:r>
              <w:rPr>
                <w:rFonts w:ascii="Noto Sans CJK KR" w:hAnsi="Noto Sans CJK KR" w:eastAsia="Noto Sans CJK KR"/>
                <w:color w:val="000000"/>
                <w:sz w:val="17"/>
              </w:rPr>
              <w:t>장기 성과</w:t>
            </w:r>
          </w:p>
        </w:tc>
        <w:tc>
          <w:tcPr>
            <w:tcW w:type="dxa" w:w="2376"/>
            <w:tcMar>
              <w:top w:w="100" w:type="dxa"/>
              <w:start w:w="120" w:type="dxa"/>
              <w:bottom w:w="100" w:type="dxa"/>
              <w:end w:w="120" w:type="dxa"/>
            </w:tcMar>
            <w:shd w:fill="F5F8FC"/>
            <w:vAlign w:val="center"/>
          </w:tcPr>
          <w:p>
            <w:pPr>
              <w:jc w:val="left"/>
            </w:pPr>
            <w:r>
              <w:rPr>
                <w:rFonts w:ascii="Noto Sans CJK KR" w:hAnsi="Noto Sans CJK KR" w:eastAsia="Noto Sans CJK KR"/>
                <w:color w:val="000000"/>
                <w:sz w:val="17"/>
              </w:rPr>
              <w:t>기록과 기억의 축적</w:t>
            </w:r>
          </w:p>
        </w:tc>
        <w:tc>
          <w:tcPr>
            <w:tcW w:type="dxa" w:w="2088"/>
            <w:tcMar>
              <w:top w:w="100" w:type="dxa"/>
              <w:start w:w="120" w:type="dxa"/>
              <w:bottom w:w="100" w:type="dxa"/>
              <w:end w:w="120" w:type="dxa"/>
            </w:tcMar>
            <w:shd w:fill="F5F8FC"/>
            <w:vAlign w:val="center"/>
          </w:tcPr>
          <w:p>
            <w:pPr>
              <w:jc w:val="left"/>
            </w:pPr>
            <w:r>
              <w:rPr>
                <w:rFonts w:ascii="Noto Sans CJK KR" w:hAnsi="Noto Sans CJK KR" w:eastAsia="Noto Sans CJK KR"/>
                <w:color w:val="000000"/>
                <w:sz w:val="17"/>
              </w:rPr>
              <w:t>문화유산 계승</w:t>
            </w:r>
          </w:p>
        </w:tc>
        <w:tc>
          <w:tcPr>
            <w:tcW w:type="dxa" w:w="2880"/>
            <w:tcMar>
              <w:top w:w="100" w:type="dxa"/>
              <w:start w:w="120" w:type="dxa"/>
              <w:bottom w:w="100" w:type="dxa"/>
              <w:end w:w="120" w:type="dxa"/>
            </w:tcMar>
            <w:shd w:fill="F5F8FC"/>
            <w:vAlign w:val="center"/>
          </w:tcPr>
          <w:p>
            <w:pPr>
              <w:jc w:val="left"/>
            </w:pPr>
            <w:r>
              <w:rPr>
                <w:rFonts w:ascii="Noto Sans CJK KR" w:hAnsi="Noto Sans CJK KR" w:eastAsia="Noto Sans CJK KR"/>
                <w:color w:val="000000"/>
                <w:sz w:val="17"/>
              </w:rPr>
              <w:t>사회통합과 정체성</w:t>
            </w:r>
          </w:p>
        </w:tc>
      </w:tr>
    </w:tbl>
    <w:p>
      <w:pPr>
        <w:pStyle w:val="Heading2"/>
        <w:keepNext/>
      </w:pPr>
      <w:r>
        <w:rPr>
          <w:rFonts w:ascii="Noto Sans CJK KR" w:hAnsi="Noto Sans CJK KR" w:eastAsia="Noto Sans CJK KR"/>
          <w:b/>
          <w:color w:val="000000"/>
          <w:sz w:val="25"/>
        </w:rPr>
        <w:t>2. 장서관리가 국가발전에 기여하는 경로</w:t>
      </w:r>
    </w:p>
    <w:p>
      <w:pPr>
        <w:pStyle w:val="Heading2"/>
        <w:keepNext/>
      </w:pPr>
      <w:r>
        <w:rPr>
          <w:rFonts w:ascii="Noto Sans CJK KR" w:hAnsi="Noto Sans CJK KR" w:eastAsia="Noto Sans CJK KR"/>
          <w:b/>
          <w:color w:val="000000"/>
          <w:sz w:val="25"/>
        </w:rPr>
        <w:t>가. 교육과 인적자본의 형성</w:t>
      </w:r>
    </w:p>
    <w:p>
      <w:pPr>
        <w:widowControl/>
        <w:spacing w:line="360" w:lineRule="auto" w:after="140"/>
        <w:ind w:firstLine="403"/>
        <w:jc w:val="both"/>
      </w:pPr>
      <w:r>
        <w:rPr>
          <w:rFonts w:ascii="Noto Sans CJK KR" w:hAnsi="Noto Sans CJK KR" w:eastAsia="Noto Sans CJK KR"/>
          <w:color w:val="000000"/>
          <w:sz w:val="21"/>
        </w:rPr>
        <w:t>교육 분야에서 균형 잡힌 장서는 정규교육을 보완하고 평생학습을 가능하게 한다. 학생은 교과서만으로 접하기 어려운 다양한 관점을 비교할 수 있고, 성인은 직업전환·자격취득·금융·건강 문해에 필요한 자료를 활용할 수 있다. 농산어촌이나 저소득 지역처럼 서점과 교육기관이 부족한 곳에서는 공공도서관의 장서가 학습기회의 지역 격차를 줄이는 역할을 한다. 아동·청소년 자료, 큰글자책, 쉬운 글 자료, 다문화 언어자료, 오디오북을 균형 있게 구성하면 연령·장애·언어의 차이가 학습배제로 이어지는 것을 완화할 수 있다.</w:t>
      </w:r>
    </w:p>
    <w:p>
      <w:pPr>
        <w:pStyle w:val="Heading2"/>
        <w:keepNext/>
      </w:pPr>
      <w:r>
        <w:rPr>
          <w:rFonts w:ascii="Noto Sans CJK KR" w:hAnsi="Noto Sans CJK KR" w:eastAsia="Noto Sans CJK KR"/>
          <w:b/>
          <w:color w:val="000000"/>
          <w:sz w:val="25"/>
        </w:rPr>
        <w:t>나. 연구혁신과 산업 경쟁력</w:t>
      </w:r>
    </w:p>
    <w:p>
      <w:pPr>
        <w:widowControl/>
        <w:spacing w:line="360" w:lineRule="auto" w:after="140"/>
        <w:ind w:firstLine="403"/>
        <w:jc w:val="both"/>
      </w:pPr>
      <w:r>
        <w:rPr>
          <w:rFonts w:ascii="Noto Sans CJK KR" w:hAnsi="Noto Sans CJK KR" w:eastAsia="Noto Sans CJK KR"/>
          <w:color w:val="000000"/>
          <w:sz w:val="21"/>
        </w:rPr>
        <w:t>대학도서관과 전문도서관의 학술장서는 연구자가 기존 연구를 신속하게 파악하고 중복 연구를 줄이며 새로운 문제를 발견하도록 돕는다. 학술지·특허·표준·통계·데이터베이스의 체계적 구독과 보존은 연구개발의 탐색비용을 낮춘다. 중소기업과 예비창업자에게 시장자료, 기술동향, 법령·표준 정보가 제공되면 정보력이 대기업에만 집중되는 현상도 일부 완화된다. 개별 기관이 모든 자료를 소장하기 어려운 현실에서는 공동보존, 상호대차, 컨소시엄 구독과 국가 차원의 서지정보 공유가 장서의 한계를 보완하고 투자 효율성을 높인다.</w:t>
      </w:r>
    </w:p>
    <w:p>
      <w:pPr>
        <w:pStyle w:val="Heading2"/>
        <w:keepNext/>
      </w:pPr>
      <w:r>
        <w:rPr>
          <w:rFonts w:ascii="Noto Sans CJK KR" w:hAnsi="Noto Sans CJK KR" w:eastAsia="Noto Sans CJK KR"/>
          <w:b/>
          <w:color w:val="000000"/>
          <w:sz w:val="25"/>
        </w:rPr>
        <w:t>다. 정보격차 완화와 사회통합</w:t>
      </w:r>
    </w:p>
    <w:p>
      <w:pPr>
        <w:widowControl/>
        <w:spacing w:line="360" w:lineRule="auto" w:after="140"/>
        <w:ind w:firstLine="403"/>
        <w:jc w:val="both"/>
      </w:pPr>
      <w:r>
        <w:rPr>
          <w:rFonts w:ascii="Noto Sans CJK KR" w:hAnsi="Noto Sans CJK KR" w:eastAsia="Noto Sans CJK KR"/>
          <w:color w:val="000000"/>
          <w:sz w:val="21"/>
        </w:rPr>
        <w:t>디지털 전환은 정보량을 확대했지만 접근의 불평등을 자동으로 해소하지는 않았다. 유료 데이터베이스, 기기 보유 여부, 검색능력, 알고리즘에 대한 이해가 새로운 격차를 만든다. 도서관은 인쇄자료와 전자자료를 함께 제공하고, 공용기기와 무선망, 정보활용교육, 참고서비스를 결합함으로써 접근과 활용 사이의 간극을 줄일 수 있다. 이때 장서관리는 소외계층을 별도의 주변 이용자로 보지 않고 전체 장서정책의 핵심 이해관계자로 포함해야 한다. 지역의 이주민에게 생활법률과 행정정보를 모국어로 제공하는 사례는 장서가 사회정착과 공동체 참여를 지원하는 방식을 보여준다.</w:t>
      </w:r>
    </w:p>
    <w:p>
      <w:pPr>
        <w:pStyle w:val="Heading2"/>
        <w:keepNext/>
      </w:pPr>
      <w:r>
        <w:rPr>
          <w:rFonts w:ascii="Noto Sans CJK KR" w:hAnsi="Noto Sans CJK KR" w:eastAsia="Noto Sans CJK KR"/>
          <w:b/>
          <w:color w:val="000000"/>
          <w:sz w:val="25"/>
        </w:rPr>
        <w:t>라. 문화유산과 집단기억의 보존</w:t>
      </w:r>
    </w:p>
    <w:p>
      <w:pPr>
        <w:widowControl/>
        <w:spacing w:line="360" w:lineRule="auto" w:after="140"/>
        <w:ind w:firstLine="403"/>
        <w:jc w:val="both"/>
      </w:pPr>
      <w:r>
        <w:rPr>
          <w:rFonts w:ascii="Noto Sans CJK KR" w:hAnsi="Noto Sans CJK KR" w:eastAsia="Noto Sans CJK KR"/>
          <w:color w:val="000000"/>
          <w:sz w:val="21"/>
        </w:rPr>
        <w:t>국가와 지역의 발전은 새 지식을 생산하는 능력뿐 아니라 과거의 기록을 보존하고 재해석하는 능력에도 달려 있다. 국가도서관의 납본과 보존, 지역도서관의 향토자료 수집, 구술기록과 디지털 아카이빙은 사회의 집단기억을 형성한다. 보존정책이 약하면 상업성이 낮은 지역출판물, 소수자의 기록, 웹자료처럼 쉽게 사라지는 자원이 후대의 연구와 문화창작에서 배제될 수 있다. 다양성을 고려한 장서구성은 문화적 대표성을 높이고, 시민이 자신의 경험이 공적 기록 안에 포함되어 있음을 확인하게 함으로써 공동체 소속감을 강화한다.</w:t>
      </w:r>
    </w:p>
    <w:p>
      <w:pPr>
        <w:pStyle w:val="Heading2"/>
        <w:keepNext/>
      </w:pPr>
      <w:r>
        <w:rPr>
          <w:rFonts w:ascii="Noto Sans CJK KR" w:hAnsi="Noto Sans CJK KR" w:eastAsia="Noto Sans CJK KR"/>
          <w:b/>
          <w:color w:val="000000"/>
          <w:sz w:val="25"/>
        </w:rPr>
        <w:t>마. 민주적 의사결정과 사회적 신뢰</w:t>
      </w:r>
    </w:p>
    <w:p>
      <w:pPr>
        <w:widowControl/>
        <w:spacing w:line="360" w:lineRule="auto" w:after="140"/>
        <w:ind w:firstLine="403"/>
        <w:jc w:val="both"/>
      </w:pPr>
      <w:r>
        <w:rPr>
          <w:rFonts w:ascii="Noto Sans CJK KR" w:hAnsi="Noto Sans CJK KR" w:eastAsia="Noto Sans CJK KR"/>
          <w:color w:val="000000"/>
          <w:sz w:val="21"/>
        </w:rPr>
        <w:t>민주사회에서 시민은 정책의 장단점을 비교하고 근거를 검토할 수 있어야 한다. 특정 관점에 편중되지 않은 장서, 신뢰할 수 있는 참고정보, 미디어·정보 리터러시 교육은 허위정보와 선동에 대한 시민의 대응력을 높인다. 도서관의 지적 자유 원칙과 투명한 선정·재심 절차는 불편하거나 논쟁적인 자료도 공적 검토의 대상으로 남게 한다. 이는 모든 자료를 무비판적으로 수용한다는 의미가 아니라, 전문적 기준과 공개된 절차에 따라 다양성과 신뢰성을 함께 확보한다는 뜻이다. 이러한 정보환경은 시민 숙의와 행정의 책임성을 뒷받침한다.</w:t>
      </w:r>
    </w:p>
    <w:p>
      <w:pPr>
        <w:pStyle w:val="Heading2"/>
        <w:keepNext/>
      </w:pPr>
      <w:r>
        <w:rPr>
          <w:rFonts w:ascii="Noto Sans CJK KR" w:hAnsi="Noto Sans CJK KR" w:eastAsia="Noto Sans CJK KR"/>
          <w:b/>
          <w:color w:val="000000"/>
          <w:sz w:val="25"/>
        </w:rPr>
        <w:t>3. 국가발전이 장서관리에 미치는 영향과 한계</w:t>
      </w:r>
    </w:p>
    <w:p>
      <w:pPr>
        <w:widowControl/>
        <w:spacing w:line="360" w:lineRule="auto" w:after="140"/>
        <w:ind w:firstLine="403"/>
        <w:jc w:val="both"/>
      </w:pPr>
      <w:r>
        <w:rPr>
          <w:rFonts w:ascii="Noto Sans CJK KR" w:hAnsi="Noto Sans CJK KR" w:eastAsia="Noto Sans CJK KR"/>
          <w:color w:val="000000"/>
          <w:sz w:val="21"/>
        </w:rPr>
        <w:t>상관관계는 반대 방향으로도 작동한다. 경제가 성장하고 조세 기반이 확대되면 도서관 건립과 자료구입, 전문인력 배치에 사용할 수 있는 공공재원이 늘어날 수 있다. 교육수준의 향상은 전문적 정보요구를 확대하고, 출판·콘텐츠 산업과 연구개발의 성장은 수집할 지식자원의 다양성을 높인다. 초고속 통신망과 디지털 보존기술은 전자자료의 원격접근과 장기보존을 가능하게 한다. 또한 저작권, 납본, 개인정보보호, 장애인 접근성 관련 제도는 장서관리의 범위와 방식을 규정한다. 따라서 발전된 사회일수록 도서관이 자동으로 우수해지는 것이 아니라, 축적된 자원을 공공 지식인프라에 재투자하는 정책 선택이 필요하다.</w:t>
      </w:r>
    </w:p>
    <w:p>
      <w:pPr>
        <w:widowControl/>
        <w:spacing w:line="360" w:lineRule="auto" w:after="140"/>
        <w:ind w:firstLine="403"/>
        <w:jc w:val="both"/>
      </w:pPr>
      <w:r>
        <w:rPr>
          <w:rFonts w:ascii="Noto Sans CJK KR" w:hAnsi="Noto Sans CJK KR" w:eastAsia="Noto Sans CJK KR"/>
          <w:color w:val="000000"/>
          <w:sz w:val="21"/>
        </w:rPr>
        <w:t>첫째, 장서의 양과 이용 통계를 성과로 동일시해서는 안 된다. 베스트셀러 대출이 증가하더라도 연구자료, 지역자료, 취약계층 자료가 부족하다면 공공적 균형은 약화될 수 있다. 둘째, 디지털 자료는 공간 제약을 줄이지만 구독 중단 시 접근이 사라지고 플랫폼 종속과 장기보존 문제가 발생한다. 셋째, 선정 과정에 정치적 압력이나 상업적 편향이 개입하면 장서의 다양성과 신뢰가 손상된다. 넷째, 자료를 확보해도 검색체계, 전문사서의 중개, 이용교육이 부족하면 잠재적 가치가 실제 성과로 이어지지 않는다.</w:t>
      </w:r>
    </w:p>
    <w:p>
      <w:pPr>
        <w:widowControl/>
        <w:spacing w:line="360" w:lineRule="auto" w:after="140"/>
        <w:ind w:firstLine="403"/>
        <w:jc w:val="both"/>
      </w:pPr>
      <w:r>
        <w:rPr>
          <w:rFonts w:ascii="Noto Sans CJK KR" w:hAnsi="Noto Sans CJK KR" w:eastAsia="Noto Sans CJK KR"/>
          <w:color w:val="000000"/>
          <w:sz w:val="21"/>
        </w:rPr>
        <w:t>이러한 한계를 줄이기 위해서는 정량·정성 지표를 결합한 평가가 필요하다. 대출과 다운로드뿐 아니라 주제별 결손, 이용불가 자료 요청, 취약계층 접근성, 교육프로그램 이후의 정보활용 변화, 지역기관과의 협력성과를 함께 살펴야 한다. 장서개발정책과 이의제기 절차를 공개하고, 이용자위원회·지역전문가·사서의 의견을 균형 있게 반영하는 것도 중요하다. 또한 인쇄·전자·비도서 자료의 생애주기 비용을 비교하여 수집부터 보존·폐기까지 총비용을 관리해야 한다.</w:t>
      </w:r>
    </w:p>
    <w:p>
      <w:pPr>
        <w:pStyle w:val="Heading2"/>
        <w:keepNext/>
      </w:pPr>
      <w:r>
        <w:rPr>
          <w:rFonts w:ascii="Noto Sans CJK KR" w:hAnsi="Noto Sans CJK KR" w:eastAsia="Noto Sans CJK KR"/>
          <w:b/>
          <w:color w:val="000000"/>
          <w:sz w:val="25"/>
        </w:rPr>
        <w:t>지속 가능한 장서관리의 정책 방향</w:t>
      </w:r>
    </w:p>
    <w:p>
      <w:pPr>
        <w:pStyle w:val="ListBullet"/>
        <w:spacing w:line="324" w:lineRule="auto" w:after="80"/>
        <w:ind w:left="360" w:hanging="259"/>
      </w:pPr>
      <w:r>
        <w:rPr>
          <w:rFonts w:ascii="Noto Sans CJK KR" w:hAnsi="Noto Sans CJK KR" w:eastAsia="Noto Sans CJK KR"/>
          <w:color w:val="000000"/>
          <w:sz w:val="20"/>
        </w:rPr>
        <w:t>국가와 지방자치단체는 최소한의 장서 수준만 제시하기보다 지역의 인구·교육·산업·문화 특성을 반영할 수 있는 안정적 예산과 전문인력을 보장해야 한다.</w:t>
      </w:r>
    </w:p>
    <w:p>
      <w:pPr>
        <w:pStyle w:val="ListBullet"/>
        <w:spacing w:line="324" w:lineRule="auto" w:after="80"/>
        <w:ind w:left="360" w:hanging="259"/>
      </w:pPr>
      <w:r>
        <w:rPr>
          <w:rFonts w:ascii="Noto Sans CJK KR" w:hAnsi="Noto Sans CJK KR" w:eastAsia="Noto Sans CJK KR"/>
          <w:color w:val="000000"/>
          <w:sz w:val="20"/>
        </w:rPr>
        <w:t>도서관 간 분담수서, 공동보존, 상호대차와 통합검색을 강화하여 개별 기관의 한정된 예산을 국가적 장서망으로 전환해야 한다.</w:t>
      </w:r>
    </w:p>
    <w:p>
      <w:pPr>
        <w:pStyle w:val="ListBullet"/>
        <w:spacing w:line="324" w:lineRule="auto" w:after="80"/>
        <w:ind w:left="360" w:hanging="259"/>
      </w:pPr>
      <w:r>
        <w:rPr>
          <w:rFonts w:ascii="Noto Sans CJK KR" w:hAnsi="Noto Sans CJK KR" w:eastAsia="Noto Sans CJK KR"/>
          <w:color w:val="000000"/>
          <w:sz w:val="20"/>
        </w:rPr>
        <w:t>전자자료 계약에서 장기접근권과 보존권을 검토하고, 디지털 취약계층을 위한 기기·교육·대체자료를 함께 제공해야 한다.</w:t>
      </w:r>
    </w:p>
    <w:p>
      <w:pPr>
        <w:pStyle w:val="ListBullet"/>
        <w:spacing w:line="324" w:lineRule="auto" w:after="80"/>
        <w:ind w:left="360" w:hanging="259"/>
      </w:pPr>
      <w:r>
        <w:rPr>
          <w:rFonts w:ascii="Noto Sans CJK KR" w:hAnsi="Noto Sans CJK KR" w:eastAsia="Noto Sans CJK KR"/>
          <w:color w:val="000000"/>
          <w:sz w:val="20"/>
        </w:rPr>
        <w:t>장서의 다양성·대표성·신뢰성을 주기적으로 평가하고, 선정과 폐기의 근거를 기록하여 공공기관으로서의 책임성을 높여야 한다.</w:t>
      </w:r>
    </w:p>
    <w:p>
      <w:pPr>
        <w:pStyle w:val="Heading1"/>
        <w:keepNext/>
      </w:pPr>
      <w:r>
        <w:rPr>
          <w:rFonts w:ascii="Noto Sans CJK KR" w:hAnsi="Noto Sans CJK KR" w:eastAsia="Noto Sans CJK KR"/>
          <w:b/>
          <w:color w:val="000000"/>
          <w:sz w:val="32"/>
        </w:rPr>
        <w:t>Ⅲ. 결론</w:t>
      </w:r>
    </w:p>
    <w:p>
      <w:pPr>
        <w:widowControl/>
        <w:spacing w:line="360" w:lineRule="auto" w:after="140"/>
        <w:ind w:firstLine="403"/>
        <w:jc w:val="both"/>
      </w:pPr>
      <w:r>
        <w:rPr>
          <w:rFonts w:ascii="Noto Sans CJK KR" w:hAnsi="Noto Sans CJK KR" w:eastAsia="Noto Sans CJK KR"/>
          <w:color w:val="000000"/>
          <w:sz w:val="21"/>
        </w:rPr>
        <w:t>도서관 장서관리와 국가발전은 서로를 강화하는 순환관계에 있다. 체계적으로 선정·조직·보존된 장서는 국민의 학습기회와 연구 생산성을 높이고, 정보격차를 완화하며, 문화적 기억과 민주적 숙의를 지탱한다. 이러한 효과는 경제성장만이 아니라 인간개발, 사회통합, 문화적 지속가능성, 제도적 신뢰라는 넓은 의미의 국가발전으로 이어진다. 반대로 국가의 재정·교육·기술·출판환경이 발전하면 도서관은 더 다양한 자료와 전문서비스를 확보할 수 있다. 장서관리는 국가발전의 결과이면서 동시에 다음 발전을 가능하게 하는 기반이라는 점에서 공공정책적 의미를 갖는다.</w:t>
      </w:r>
    </w:p>
    <w:p>
      <w:pPr>
        <w:widowControl/>
        <w:spacing w:line="360" w:lineRule="auto" w:after="140"/>
        <w:ind w:firstLine="403"/>
        <w:jc w:val="both"/>
      </w:pPr>
      <w:r>
        <w:rPr>
          <w:rFonts w:ascii="Noto Sans CJK KR" w:hAnsi="Noto Sans CJK KR" w:eastAsia="Noto Sans CJK KR"/>
          <w:color w:val="000000"/>
          <w:sz w:val="21"/>
        </w:rPr>
        <w:t>다만 두 변수의 상관관계를 장서 수의 단순한 증가로 해석해서는 안 된다. 이용자의 실제 필요와 무관한 수집, 접근이 제한된 전자자료, 편향된 선정, 불충분한 조직과 안내는 많은 예산을 투입해도 사회적 성과를 낮춘다. 중요한 것은 ‘얼마나 많이 소장하는가’보다 ‘누구의 어떤 문제를 해결하도록 장서를 구성하고 지속적으로 갱신하는가’이다. 따라서 장서정책은 적합성·다양성·접근성·보존성·책임성을 함께 평가해야 하며, 사서의 전문적 판단과 이용자의 참여가 조화를 이루어야 한다.</w:t>
      </w:r>
    </w:p>
    <w:p>
      <w:pPr>
        <w:widowControl/>
        <w:spacing w:line="360" w:lineRule="auto" w:after="140"/>
        <w:ind w:firstLine="403"/>
        <w:jc w:val="both"/>
      </w:pPr>
      <w:r>
        <w:rPr>
          <w:rFonts w:ascii="Noto Sans CJK KR" w:hAnsi="Noto Sans CJK KR" w:eastAsia="Noto Sans CJK KR"/>
          <w:color w:val="000000"/>
          <w:sz w:val="21"/>
        </w:rPr>
        <w:t>학습자의 관점에서 도서관은 국가발전의 주변적 문화시설이 아니라 지식의 기회를 공정하게 배분하는 사회기반시설이라고 생각한다. 특히 변화가 빠른 시대일수록 개인이 모든 정보비용을 감당하기 어렵기 때문에 신뢰할 수 있는 자료를 공동으로 축적하고 안내하는 기능이 중요해진다. 앞으로의 장서관리는 종이책과 전자자료 중 하나를 선택하는 방식이 아니라, 자료의 생애주기와 이용자의 접근 조건을 종합해 최적의 조합을 설계해야 한다. 국가 역시 도서관 투자를 단기 대출실적이 아니라 교육·연구·복지·문화정책을 연결하는 장기적 인적·사회적 자본 투자로 평가할 필요가 있다.</w:t>
      </w:r>
    </w:p>
    <w:p>
      <w:pPr>
        <w:pStyle w:val="Heading1"/>
        <w:keepNext/>
      </w:pPr>
      <w:r>
        <w:rPr>
          <w:rFonts w:ascii="Noto Sans CJK KR" w:hAnsi="Noto Sans CJK KR" w:eastAsia="Noto Sans CJK KR"/>
          <w:b/>
          <w:color w:val="000000"/>
          <w:sz w:val="32"/>
        </w:rPr>
        <w:t>참고문헌</w:t>
      </w:r>
    </w:p>
    <w:p>
      <w:pPr>
        <w:spacing w:line="300" w:lineRule="auto" w:after="100"/>
        <w:ind w:left="360" w:hanging="360"/>
      </w:pPr>
      <w:r>
        <w:rPr>
          <w:rFonts w:ascii="Noto Sans CJK KR" w:hAnsi="Noto Sans CJK KR" w:eastAsia="Noto Sans CJK KR"/>
          <w:color w:val="000000"/>
          <w:sz w:val="19"/>
        </w:rPr>
        <w:t>곽철완. (2015). 『도서관의 장서관리』. 서울: 조은글터.</w:t>
      </w:r>
    </w:p>
    <w:p>
      <w:pPr>
        <w:spacing w:line="300" w:lineRule="auto" w:after="100"/>
        <w:ind w:left="360" w:hanging="360"/>
      </w:pPr>
      <w:r>
        <w:rPr>
          <w:rFonts w:ascii="Noto Sans CJK KR" w:hAnsi="Noto Sans CJK KR" w:eastAsia="Noto Sans CJK KR"/>
          <w:color w:val="000000"/>
          <w:sz w:val="19"/>
        </w:rPr>
        <w:t>윤희윤. (2017). 『장서관리론』. 대구: 태일사.</w:t>
      </w:r>
    </w:p>
    <w:p>
      <w:pPr>
        <w:spacing w:line="300" w:lineRule="auto" w:after="100"/>
        <w:ind w:left="360" w:hanging="360"/>
      </w:pPr>
      <w:r>
        <w:rPr>
          <w:rFonts w:ascii="Noto Sans CJK KR" w:hAnsi="Noto Sans CJK KR" w:eastAsia="Noto Sans CJK KR"/>
          <w:color w:val="000000"/>
          <w:sz w:val="19"/>
        </w:rPr>
        <w:t>한국도서관협회. (2013). 『한국도서관기준』. 서울: 한국도서관협회.</w:t>
      </w:r>
    </w:p>
    <w:p>
      <w:pPr>
        <w:spacing w:line="300" w:lineRule="auto" w:after="100"/>
        <w:ind w:left="360" w:hanging="360"/>
      </w:pPr>
      <w:r>
        <w:rPr>
          <w:rFonts w:ascii="Noto Sans CJK KR" w:hAnsi="Noto Sans CJK KR" w:eastAsia="Noto Sans CJK KR"/>
          <w:color w:val="000000"/>
          <w:sz w:val="19"/>
        </w:rPr>
        <w:t>IFLA &amp; UNESCO. (2022). IFLA UNESCO Public Library Manifesto 2022. International Federation of Library Associations and Institutions.</w:t>
      </w:r>
    </w:p>
    <w:p>
      <w:pPr>
        <w:spacing w:line="300" w:lineRule="auto" w:after="100"/>
        <w:ind w:left="360" w:hanging="360"/>
      </w:pPr>
      <w:r>
        <w:rPr>
          <w:rFonts w:ascii="Noto Sans CJK KR" w:hAnsi="Noto Sans CJK KR" w:eastAsia="Noto Sans CJK KR"/>
          <w:color w:val="000000"/>
          <w:sz w:val="19"/>
        </w:rPr>
        <w:t>UNESCO. (2015). Rethinking Education: Towards a Global Common Good? Paris: UNESCO.</w:t>
      </w:r>
    </w:p>
    <w:p>
      <w:pPr>
        <w:spacing w:line="300" w:lineRule="auto" w:after="100"/>
        <w:ind w:left="360" w:hanging="360"/>
      </w:pPr>
      <w:r>
        <w:rPr>
          <w:rFonts w:ascii="Noto Sans CJK KR" w:hAnsi="Noto Sans CJK KR" w:eastAsia="Noto Sans CJK KR"/>
          <w:color w:val="000000"/>
          <w:sz w:val="19"/>
        </w:rPr>
        <w:t>World Bank. (1999). World Development Report 1998 1999: Knowledge for Development. New York: Oxford University Press.</w:t>
      </w:r>
    </w:p>
    <w:p>
      <w:pPr>
        <w:pageBreakBefore/>
        <w:spacing w:before="1400" w:after="640"/>
        <w:jc w:val="center"/>
      </w:pPr>
      <w:r>
        <w:rPr>
          <w:rFonts w:ascii="Noto Sans CJK KR" w:hAnsi="Noto Sans CJK KR" w:eastAsia="Noto Sans CJK KR"/>
          <w:b/>
          <w:color w:val="000000"/>
          <w:sz w:val="40"/>
        </w:rPr>
        <w:t>과제 참고자료 이용 안내</w:t>
      </w:r>
    </w:p>
    <w:p>
      <w:pPr>
        <w:spacing w:after="240"/>
      </w:pPr>
      <w:r>
        <w:rPr>
          <w:rFonts w:ascii="Noto Sans CJK KR" w:hAnsi="Noto Sans CJK KR" w:eastAsia="Noto Sans CJK KR"/>
          <w:b/>
          <w:color w:val="000000"/>
          <w:sz w:val="28"/>
        </w:rPr>
        <w:t>⚠️ 주의사항</w:t>
      </w:r>
    </w:p>
    <w:p>
      <w:pPr>
        <w:spacing w:after="100"/>
      </w:pPr>
      <w:r>
        <w:rPr>
          <w:rFonts w:ascii="Noto Sans CJK KR" w:hAnsi="Noto Sans CJK KR" w:eastAsia="Noto Sans CJK KR"/>
          <w:color w:val="000000"/>
          <w:sz w:val="22"/>
        </w:rPr>
        <w:t>본 자료는 학점은행제 과제 참고용 샘플입니다.</w:t>
      </w:r>
    </w:p>
    <w:p>
      <w:pPr>
        <w:spacing w:after="100"/>
      </w:pPr>
      <w:r>
        <w:rPr>
          <w:rFonts w:ascii="Noto Sans CJK KR" w:hAnsi="Noto Sans CJK KR" w:eastAsia="Noto Sans CJK KR"/>
          <w:color w:val="000000"/>
          <w:sz w:val="22"/>
        </w:rPr>
        <w:t>위 학습 자료를 그대로 제출할 경우 모사율(표절률)로 인하여</w:t>
      </w:r>
    </w:p>
    <w:p>
      <w:pPr>
        <w:spacing w:after="100"/>
      </w:pPr>
      <w:r>
        <w:rPr>
          <w:rFonts w:ascii="Noto Sans CJK KR" w:hAnsi="Noto Sans CJK KR" w:eastAsia="Noto Sans CJK KR"/>
          <w:color w:val="000000"/>
          <w:sz w:val="22"/>
        </w:rPr>
        <w:t>성적 불이익 또는 해당 과목 0점 처리될 수 있습니다.</w:t>
      </w:r>
    </w:p>
    <w:p>
      <w:pPr>
        <w:spacing w:after="100"/>
      </w:pPr>
      <w:r>
        <w:rPr>
          <w:rFonts w:ascii="Noto Sans CJK KR" w:hAnsi="Noto Sans CJK KR" w:eastAsia="Noto Sans CJK KR"/>
          <w:color w:val="000000"/>
          <w:sz w:val="22"/>
        </w:rPr>
        <w:t>반드시 본인의 언어로 수정·재작성하여 제출하시기 바랍니다.</w:t>
      </w:r>
    </w:p>
    <w:p>
      <w:pPr>
        <w:spacing w:before="520" w:after="240"/>
      </w:pPr>
      <w:r>
        <w:rPr>
          <w:rFonts w:ascii="Noto Sans CJK KR" w:hAnsi="Noto Sans CJK KR" w:eastAsia="Noto Sans CJK KR"/>
          <w:b/>
          <w:color w:val="000000"/>
          <w:sz w:val="28"/>
        </w:rPr>
        <w:t>📌 과제 수정이 어려우신가요?</w:t>
      </w:r>
    </w:p>
    <w:p>
      <w:pPr>
        <w:spacing w:after="100"/>
      </w:pPr>
      <w:r>
        <w:rPr>
          <w:rFonts w:ascii="Noto Sans CJK KR" w:hAnsi="Noto Sans CJK KR" w:eastAsia="Noto Sans CJK KR"/>
          <w:color w:val="000000"/>
          <w:sz w:val="22"/>
        </w:rPr>
        <w:t>국민원격교육관리센터에서 1:1 과제 수정 도움을 드립니다.</w:t>
      </w:r>
    </w:p>
    <w:p>
      <w:pPr>
        <w:spacing w:after="100"/>
      </w:pPr>
      <w:r>
        <w:rPr>
          <w:rFonts w:ascii="Noto Sans CJK KR" w:hAnsi="Noto Sans CJK KR" w:eastAsia="Noto Sans CJK KR"/>
          <w:color w:val="000000"/>
          <w:sz w:val="22"/>
        </w:rPr>
        <w:t>아래 연락처로 문의해 주세요.</w:t>
      </w:r>
    </w:p>
    <w:p>
      <w:pPr>
        <w:spacing w:after="160"/>
        <w:ind w:left="216"/>
      </w:pPr>
      <w:r>
        <w:rPr>
          <w:rFonts w:ascii="Noto Sans CJK KR" w:hAnsi="Noto Sans CJK KR" w:eastAsia="Noto Sans CJK KR"/>
          <w:b/>
          <w:color w:val="000000"/>
          <w:sz w:val="22"/>
        </w:rPr>
        <w:t>📞 전화: 050-7878-7044</w:t>
      </w:r>
    </w:p>
    <w:p>
      <w:pPr>
        <w:spacing w:after="160"/>
        <w:ind w:left="216"/>
      </w:pPr>
      <w:r>
        <w:rPr>
          <w:rFonts w:ascii="Noto Sans CJK KR" w:hAnsi="Noto Sans CJK KR" w:eastAsia="Noto Sans CJK KR"/>
          <w:b w:val="0"/>
          <w:color w:val="000000"/>
          <w:sz w:val="22"/>
        </w:rPr>
        <w:t>💬 카카오톡: @국민원격교육관리센터</w:t>
      </w:r>
    </w:p>
    <w:p>
      <w:pPr>
        <w:spacing w:after="160"/>
        <w:ind w:left="216"/>
      </w:pPr>
      <w:r>
        <w:rPr>
          <w:rFonts w:ascii="Noto Sans CJK KR" w:hAnsi="Noto Sans CJK KR" w:eastAsia="Noto Sans CJK KR"/>
          <w:b w:val="0"/>
          <w:color w:val="000000"/>
          <w:sz w:val="22"/>
        </w:rPr>
        <w:t>🕐 운영시간: 평일 10:00–19:00</w:t>
      </w:r>
    </w:p>
    <w:p>
      <w:pPr>
        <w:spacing w:after="160"/>
        <w:ind w:left="216"/>
      </w:pPr>
      <w:r>
        <w:rPr>
          <w:rFonts w:ascii="Noto Sans CJK KR" w:hAnsi="Noto Sans CJK KR" w:eastAsia="Noto Sans CJK KR"/>
          <w:b w:val="0"/>
          <w:color w:val="000000"/>
          <w:sz w:val="22"/>
        </w:rPr>
        <w:t>🌐 웹사이트: korealms.co.kr</w:t>
      </w:r>
    </w:p>
    <w:sectPr w:rsidR="00FC693F" w:rsidRPr="0006063C" w:rsidSect="00034616">
      <w:headerReference w:type="default" r:id="rId9"/>
      <w:footerReference w:type="default" r:id="rId10"/>
      <w:pgSz w:w="12240" w:h="15840"/>
      <w:pgMar w:top="1080" w:right="1238" w:bottom="1037" w:left="1238" w:header="432" w:footer="504"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footer1.xml><?xml version="1.0" encoding="utf-8"?>
<w:ft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Footer"/>
      <w:jc w:val="center"/>
    </w:pPr>
    <w:r>
      <w:rPr>
        <w:rFonts w:ascii="Noto Sans CJK KR" w:hAnsi="Noto Sans CJK KR" w:eastAsia="Noto Sans CJK KR"/>
        <w:color w:val="666666"/>
        <w:sz w:val="18"/>
      </w:rPr>
      <w:fldChar w:fldCharType="begin"/>
      <w:instrText xml:space="preserve"> PAGE </w:instrText>
      <w:fldChar w:fldCharType="end"/>
    </w:r>
  </w:p>
</w:ftr>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jc w:val="right"/>
    </w:pPr>
    <w:r>
      <w:rPr>
        <w:rFonts w:ascii="Noto Sans CJK KR" w:hAnsi="Noto Sans CJK KR" w:eastAsia="Noto Sans CJK KR"/>
        <w:color w:val="777777"/>
        <w:sz w:val="17"/>
      </w:rPr>
      <w:t>자료선택 구성론</w:t>
    </w:r>
  </w:p>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rFonts w:ascii="Noto Sans CJK KR" w:hAnsi="Noto Sans CJK KR" w:eastAsia="Noto Sans CJK KR"/>
      <w:sz w:val="21"/>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0" w:after="240"/>
      <w:outlineLvl w:val="0"/>
    </w:pPr>
    <w:rPr>
      <w:rFonts w:asciiTheme="majorHAnsi" w:eastAsiaTheme="majorEastAsia" w:hAnsiTheme="majorHAnsi" w:cstheme="majorBidi" w:ascii="Noto Sans CJK KR" w:hAnsi="Noto Sans CJK KR" w:eastAsia="Noto Sans CJK KR"/>
      <w:b/>
      <w:bCs/>
      <w:color w:val="000000"/>
      <w:sz w:val="28"/>
      <w:szCs w:val="28"/>
    </w:rPr>
  </w:style>
  <w:style w:type="paragraph" w:styleId="Heading2">
    <w:name w:val="heading 2"/>
    <w:basedOn w:val="Normal"/>
    <w:next w:val="Normal"/>
    <w:link w:val="Heading2Char"/>
    <w:uiPriority w:val="9"/>
    <w:unhideWhenUsed/>
    <w:qFormat/>
    <w:rsid w:val="00FC693F"/>
    <w:pPr>
      <w:keepNext/>
      <w:keepLines/>
      <w:spacing w:before="160" w:after="120"/>
      <w:outlineLvl w:val="1"/>
    </w:pPr>
    <w:rPr>
      <w:rFonts w:asciiTheme="majorHAnsi" w:eastAsiaTheme="majorEastAsia" w:hAnsiTheme="majorHAnsi" w:cstheme="majorBidi" w:ascii="Noto Sans CJK KR" w:hAnsi="Noto Sans CJK KR" w:eastAsia="Noto Sans CJK KR"/>
      <w:b/>
      <w:bCs/>
      <w:color w:val="000000"/>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ascii="Noto Sans CJK KR" w:hAnsi="Noto Sans CJK KR" w:eastAsia="Noto Sans CJK KR"/>
      <w:color w:val="000000"/>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ascii="Noto Sans CJK KR" w:hAnsi="Noto Sans CJK KR" w:eastAsia="Noto Sans CJK KR"/>
      <w:i/>
      <w:iCs/>
      <w:color w:val="000000"/>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rPr>
      <w:rFonts w:ascii="Noto Sans CJK KR" w:hAnsi="Noto Sans CJK KR" w:eastAsia="Noto Sans CJK KR"/>
      <w:color w:val="000000"/>
    </w:r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 Id="rId10"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도서관 장서관리와 국가발전 사이의 상관관계</dc:title>
  <dc:subject>자료선택 구성론 과제 참고용 샘플</dc:subject>
  <dc:creator>국민원격교육관리센터</dc:creator>
  <cp:keywords/>
  <dc:description>generated by python-docx</dc:description>
  <cp:lastModifiedBy/>
  <cp:revision>1</cp:revision>
  <dcterms:created xsi:type="dcterms:W3CDTF">2013-12-23T23:15:00Z</dcterms:created>
  <dcterms:modified xsi:type="dcterms:W3CDTF">2013-12-23T23:15:00Z</dcterms:modified>
  <cp:category/>
</cp:coreProperties>
</file>