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360"/>
        <w:jc w:val="left"/>
      </w:pPr>
      <w:r>
        <w:rPr>
          <w:rFonts w:ascii="NanumGothic" w:hAnsi="NanumGothic" w:eastAsia="NanumGothic"/>
          <w:b/>
          <w:color w:val="52606D"/>
          <w:sz w:val="26"/>
        </w:rPr>
        <w:t>광고학</w:t>
      </w:r>
    </w:p>
    <w:p>
      <w:pPr>
        <w:pStyle w:val="Title"/>
        <w:spacing w:before="1100" w:after="300"/>
        <w:jc w:val="center"/>
      </w:pPr>
      <w:r>
        <w:rPr>
          <w:rFonts w:ascii="NanumGothic" w:hAnsi="NanumGothic" w:eastAsia="NanumGothic"/>
          <w:b/>
          <w:color w:val="000000"/>
          <w:sz w:val="48"/>
        </w:rPr>
        <w:t>시장세분화에 따른 제품 포지셔닝 전략과 광고사례 분석</w:t>
      </w:r>
    </w:p>
    <w:p>
      <w:pPr>
        <w:spacing w:after="1000"/>
        <w:jc w:val="center"/>
      </w:pPr>
      <w:r>
        <w:rPr>
          <w:rFonts w:ascii="NanumGothic" w:hAnsi="NanumGothic" w:eastAsia="NanumGothic"/>
          <w:b w:val="0"/>
          <w:color w:val="52606D"/>
          <w:sz w:val="28"/>
        </w:rPr>
        <w:t>삼성전자 비스포크 광고를 중심으로</w:t>
      </w:r>
    </w:p>
    <w:p>
      <w:pPr>
        <w:spacing w:before="240" w:after="160"/>
      </w:pPr>
      <w:r>
        <w:rPr>
          <w:rFonts w:ascii="NanumGothic" w:hAnsi="NanumGothic" w:eastAsia="NanumGothic"/>
          <w:b/>
          <w:color w:val="000000"/>
          <w:sz w:val="30"/>
        </w:rPr>
        <w:t>목차</w:t>
      </w:r>
    </w:p>
    <w:p>
      <w:pPr>
        <w:tabs>
          <w:tab w:pos="9216" w:val="right" w:leader="dot"/>
        </w:tabs>
        <w:spacing w:after="120"/>
      </w:pPr>
      <w:r>
        <w:rPr>
          <w:rFonts w:ascii="NanumGothic" w:hAnsi="NanumGothic" w:eastAsia="NanumGothic"/>
          <w:b w:val="0"/>
          <w:color w:val="000000"/>
          <w:sz w:val="21"/>
        </w:rPr>
        <w:t>1. 서론</w:t>
        <w:tab/>
        <w:t>2</w:t>
      </w:r>
    </w:p>
    <w:p>
      <w:pPr>
        <w:tabs>
          <w:tab w:pos="9216" w:val="right" w:leader="dot"/>
        </w:tabs>
        <w:spacing w:after="120"/>
      </w:pPr>
      <w:r>
        <w:rPr>
          <w:rFonts w:ascii="NanumGothic" w:hAnsi="NanumGothic" w:eastAsia="NanumGothic"/>
          <w:b w:val="0"/>
          <w:color w:val="000000"/>
          <w:sz w:val="21"/>
        </w:rPr>
        <w:t>2. 시장세분화와 제품 포지셔닝의 이론적 이해</w:t>
        <w:tab/>
        <w:t>3</w:t>
      </w:r>
    </w:p>
    <w:p>
      <w:pPr>
        <w:tabs>
          <w:tab w:pos="9216" w:val="right" w:leader="dot"/>
        </w:tabs>
        <w:spacing w:after="120"/>
      </w:pPr>
      <w:r>
        <w:rPr>
          <w:rFonts w:ascii="NanumGothic" w:hAnsi="NanumGothic" w:eastAsia="NanumGothic"/>
          <w:b w:val="0"/>
          <w:color w:val="000000"/>
          <w:sz w:val="21"/>
        </w:rPr>
        <w:t>3. 시장세분화에 따른 제품 포지셔닝 전략</w:t>
        <w:tab/>
        <w:t>4</w:t>
      </w:r>
    </w:p>
    <w:p>
      <w:pPr>
        <w:tabs>
          <w:tab w:pos="9216" w:val="right" w:leader="dot"/>
        </w:tabs>
        <w:spacing w:after="120"/>
      </w:pPr>
      <w:r>
        <w:rPr>
          <w:rFonts w:ascii="NanumGothic" w:hAnsi="NanumGothic" w:eastAsia="NanumGothic"/>
          <w:b w:val="0"/>
          <w:color w:val="000000"/>
          <w:sz w:val="21"/>
        </w:rPr>
        <w:t>4. 삼성전자 비스포크 광고사례 분석</w:t>
        <w:tab/>
        <w:t>7</w:t>
      </w:r>
    </w:p>
    <w:p>
      <w:pPr>
        <w:tabs>
          <w:tab w:pos="9216" w:val="right" w:leader="dot"/>
        </w:tabs>
        <w:spacing w:after="120"/>
      </w:pPr>
      <w:r>
        <w:rPr>
          <w:rFonts w:ascii="NanumGothic" w:hAnsi="NanumGothic" w:eastAsia="NanumGothic"/>
          <w:b w:val="0"/>
          <w:color w:val="000000"/>
          <w:sz w:val="21"/>
        </w:rPr>
        <w:t>5. 결론</w:t>
        <w:tab/>
        <w:t>9</w:t>
      </w:r>
    </w:p>
    <w:p>
      <w:pPr>
        <w:tabs>
          <w:tab w:pos="9216" w:val="right" w:leader="dot"/>
        </w:tabs>
        <w:spacing w:after="120"/>
      </w:pPr>
      <w:r>
        <w:rPr>
          <w:rFonts w:ascii="NanumGothic" w:hAnsi="NanumGothic" w:eastAsia="NanumGothic"/>
          <w:b w:val="0"/>
          <w:color w:val="000000"/>
          <w:sz w:val="21"/>
        </w:rPr>
        <w:t>참고문헌</w:t>
        <w:tab/>
        <w:t>10</w:t>
      </w:r>
    </w:p>
    <w:p>
      <w:pPr>
        <w:tabs>
          <w:tab w:pos="9216" w:val="right" w:leader="dot"/>
        </w:tabs>
        <w:spacing w:after="120"/>
      </w:pPr>
      <w:r>
        <w:rPr>
          <w:rFonts w:ascii="NanumGothic" w:hAnsi="NanumGothic" w:eastAsia="NanumGothic"/>
          <w:b w:val="0"/>
          <w:color w:val="000000"/>
          <w:sz w:val="21"/>
        </w:rPr>
        <w:t>과제 참고용 샘플 주의사항</w:t>
        <w:tab/>
        <w:t>11</w:t>
      </w:r>
    </w:p>
    <w:p>
      <w:r>
        <w:br w:type="page"/>
      </w:r>
    </w:p>
    <w:p>
      <w:pPr>
        <w:pStyle w:val="Heading1"/>
        <w:spacing w:before="260" w:after="140"/>
        <w:keepNext/>
      </w:pPr>
      <w:r>
        <w:rPr>
          <w:rFonts w:ascii="NanumGothic" w:hAnsi="NanumGothic" w:eastAsia="NanumGothic"/>
          <w:b/>
          <w:color w:val="000000"/>
          <w:sz w:val="30"/>
        </w:rPr>
        <w:t>1. 서론</w:t>
      </w:r>
    </w:p>
    <w:p>
      <w:pPr>
        <w:pStyle w:val="BodyText"/>
        <w:spacing w:after="140" w:line="372" w:lineRule="auto"/>
        <w:ind w:firstLine="403"/>
        <w:jc w:val="both"/>
      </w:pPr>
      <w:r>
        <w:rPr>
          <w:rFonts w:ascii="NanumGothic" w:hAnsi="NanumGothic" w:eastAsia="NanumGothic"/>
          <w:b w:val="0"/>
          <w:color w:val="000000"/>
          <w:sz w:val="21"/>
        </w:rPr>
        <w:t>현대의 소비시장은 하나의 기준으로 설명하기 어려울 만큼 다양한 욕구와 생활양식이 공존한다. 동일한 냉장고를 구매하더라도 어떤 소비자는 대용량과 보관 성능을 우선하고, 다른 소비자는 좁은 주거 공간에 맞는 크기와 인테리어 조화를 중요하게 생각한다. 또 다른 소비자는 친환경성이나 스마트 기능을 핵심 가치로 평가한다. 이러한 차이를 무시한 채 모든 소비자에게 동일한 메시지를 전달하면 광고의 관련성이 낮아지고, 기업은 제한된 예산을 비효율적으로 사용하게 된다. 따라서 광고전략의 출발점은 시장을 의미 있는 집단으로 나누고, 자사의 역량과 목표에 맞는 집단을 선택한 다음, 그 집단의 마음속에 제품의 차별적 위치를 만드는 데 있다.</w:t>
      </w:r>
    </w:p>
    <w:p>
      <w:pPr>
        <w:pStyle w:val="BodyText"/>
        <w:spacing w:after="140" w:line="372" w:lineRule="auto"/>
        <w:ind w:firstLine="403"/>
        <w:jc w:val="both"/>
      </w:pPr>
      <w:r>
        <w:rPr>
          <w:rFonts w:ascii="NanumGothic" w:hAnsi="NanumGothic" w:eastAsia="NanumGothic"/>
          <w:b w:val="0"/>
          <w:color w:val="000000"/>
          <w:sz w:val="21"/>
        </w:rPr>
        <w:t>시장세분화는 이질적인 전체 시장을 욕구, 특성, 행동이 유사한 소비자 집단으로 구분하는 과정이다. 그러나 세분화만으로 성과가 만들어지는 것은 아니다. 기업은 각 세분시장의 규모와 성장 가능성, 접근 가능성, 경쟁 강도, 자사 적합성을 검토하여 표적시장을 정해야 한다. 이후 제품이 경쟁 대안과 비교해 어떤 가치로 기억되기를 원하는지 결정하는 포지셔닝이 필요하다. 광고는 이러한 포지셔닝을 소비자가 이해할 수 있는 언어와 이미지로 번역하고 반복적으로 전달하는 실행 수단이다. 즉 시장세분화, 표적시장 선정, 포지셔닝, 광고표현은 분리된 활동이 아니라 하나의 전략적 연쇄를 이룬다.</w:t>
      </w:r>
    </w:p>
    <w:p>
      <w:pPr>
        <w:pStyle w:val="BodyText"/>
        <w:spacing w:after="140" w:line="372" w:lineRule="auto"/>
        <w:ind w:firstLine="403"/>
        <w:jc w:val="both"/>
      </w:pPr>
      <w:r>
        <w:rPr>
          <w:rFonts w:ascii="NanumGothic" w:hAnsi="NanumGothic" w:eastAsia="NanumGothic"/>
          <w:b w:val="0"/>
          <w:color w:val="000000"/>
          <w:sz w:val="21"/>
        </w:rPr>
        <w:t>본 과제는 먼저 시장세분화의 개념과 기준, 효과적인 세분시장의 조건을 살펴보고 제품 포지셔닝의 의미와 주요 전략을 설명한다. 다음으로 시장세분화 정보가 가치제안, 경쟁 준거, 차별점, 광고 메시지와 매체 선택에 어떻게 반영되는지를 분석한다. 사례로는 삼성전자 비스포크 가전의 COME BESPOKE HOME 광고를 선정하였다. 이 사례는 획일적인 백색가전을 기능 중심 제품이 아니라 개인의 취향과 주거 생활을 표현하는 맞춤형 공간 요소로 재정의했다는 점에서 시장세분화와 포지셔닝의 관계를 보여준다.</w:t>
      </w:r>
    </w:p>
    <w:p>
      <w:pPr>
        <w:pStyle w:val="Heading2"/>
        <w:spacing w:before="200" w:after="140"/>
        <w:keepNext/>
      </w:pPr>
      <w:r>
        <w:rPr>
          <w:rFonts w:ascii="NanumGothic" w:hAnsi="NanumGothic" w:eastAsia="NanumGothic"/>
          <w:b/>
          <w:color w:val="000000"/>
          <w:sz w:val="24"/>
        </w:rPr>
        <w:t>연구의 관점과 분석 기준</w:t>
      </w:r>
    </w:p>
    <w:p>
      <w:pPr>
        <w:pStyle w:val="BodyText"/>
        <w:spacing w:after="140" w:line="372" w:lineRule="auto"/>
        <w:ind w:firstLine="403"/>
        <w:jc w:val="both"/>
      </w:pPr>
      <w:r>
        <w:rPr>
          <w:rFonts w:ascii="NanumGothic" w:hAnsi="NanumGothic" w:eastAsia="NanumGothic"/>
          <w:b w:val="0"/>
          <w:color w:val="000000"/>
          <w:sz w:val="21"/>
        </w:rPr>
        <w:t>사례 분석에서는 첫째, 소비자를 어떤 기준으로 구분했는지, 둘째, 어떤 집단을 핵심 표적으로 설정했는지, 셋째, 경쟁 제품과 구별되는 핵심 편익이 무엇인지, 넷째, 광고의 언어와 장면이 그 편익을 일관되게 표현했는지, 다섯째, 포지셔닝이 실제 제품 구성과 고객 경험으로 뒷받침되는지를 살펴본다. 광고의 화제성만을 성공 기준으로 삼지 않고 전략과 실행의 정합성을 중심으로 평가한다.</w:t>
      </w:r>
    </w:p>
    <w:p>
      <w:pPr>
        <w:pStyle w:val="Heading1"/>
        <w:spacing w:before="260" w:after="140"/>
        <w:keepNext/>
      </w:pPr>
      <w:r>
        <w:rPr>
          <w:rFonts w:ascii="NanumGothic" w:hAnsi="NanumGothic" w:eastAsia="NanumGothic"/>
          <w:b/>
          <w:color w:val="000000"/>
          <w:sz w:val="30"/>
        </w:rPr>
        <w:t>2. 시장세분화와 제품 포지셔닝의 이론적 이해</w:t>
      </w:r>
    </w:p>
    <w:p>
      <w:pPr>
        <w:pStyle w:val="Heading2"/>
        <w:spacing w:before="200" w:after="140"/>
        <w:keepNext/>
      </w:pPr>
      <w:r>
        <w:rPr>
          <w:rFonts w:ascii="NanumGothic" w:hAnsi="NanumGothic" w:eastAsia="NanumGothic"/>
          <w:b/>
          <w:color w:val="000000"/>
          <w:sz w:val="24"/>
        </w:rPr>
        <w:t>2.1 시장세분화의 개념과 필요성</w:t>
      </w:r>
    </w:p>
    <w:p>
      <w:pPr>
        <w:pStyle w:val="BodyText"/>
        <w:spacing w:after="140" w:line="372" w:lineRule="auto"/>
        <w:ind w:firstLine="403"/>
        <w:jc w:val="both"/>
      </w:pPr>
      <w:r>
        <w:rPr>
          <w:rFonts w:ascii="NanumGothic" w:hAnsi="NanumGothic" w:eastAsia="NanumGothic"/>
          <w:b w:val="0"/>
          <w:color w:val="000000"/>
          <w:sz w:val="21"/>
        </w:rPr>
        <w:t>시장세분화는 고객 간 차이를 발견하는 분석이면서 동시에 기업이 누구에게 어떤 가치를 제공할지 선택하도록 돕는 의사결정 도구이다. 전체 시장을 하나로 대하는 비차별적 마케팅은 규모의 경제를 얻을 수 있지만, 욕구가 다양하고 경쟁이 치열한 시장에서는 메시지가 모호해지기 쉽다. 반면 세분화를 활용하면 각 집단이 중요하게 여기는 구매 기준을 파악하여 제품 특성, 가격, 유통, 광고를 조정할 수 있다. 특히 디지털 환경에서는 검색, 구매, 콘텐츠 반응 자료를 활용해 작은 집단까지 정교하게 파악할 수 있으므로 세분화의 실행 가능성이 커졌다.</w:t>
      </w:r>
    </w:p>
    <w:p>
      <w:pPr>
        <w:pStyle w:val="BodyText"/>
        <w:spacing w:after="140" w:line="372" w:lineRule="auto"/>
        <w:ind w:firstLine="403"/>
        <w:jc w:val="both"/>
      </w:pPr>
      <w:r>
        <w:rPr>
          <w:rFonts w:ascii="NanumGothic" w:hAnsi="NanumGothic" w:eastAsia="NanumGothic"/>
          <w:b w:val="0"/>
          <w:color w:val="000000"/>
          <w:sz w:val="21"/>
        </w:rPr>
        <w:t>세분화의 목적은 사람을 단순히 분류하는 데 있지 않다. 마케팅 반응이 유사한 집단을 찾아 자원을 집중하고 고객가치를 높이는 데 목적이 있다. 예컨대 연령이 같더라도 1인 가구와 영유아 자녀를 둔 가구는 냉장고의 용량, 칸 구성, 구매 예산에서 큰 차이를 보인다. 따라서 인구통계 변수만으로는 부족하며 생활양식, 추구 편익, 사용 상황, 구매행동을 함께 고려해야 한다.</w:t>
      </w:r>
    </w:p>
    <w:p>
      <w:pPr>
        <w:pStyle w:val="Heading2"/>
        <w:spacing w:before="200" w:after="140"/>
        <w:keepNext/>
      </w:pPr>
      <w:r>
        <w:rPr>
          <w:rFonts w:ascii="NanumGothic" w:hAnsi="NanumGothic" w:eastAsia="NanumGothic"/>
          <w:b/>
          <w:color w:val="000000"/>
          <w:sz w:val="24"/>
        </w:rPr>
        <w:t>2.2 시장세분화의 주요 기준</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3264"/>
        <w:gridCol w:w="3264"/>
        <w:gridCol w:w="3264"/>
      </w:tblGrid>
      <w:tr>
        <w:trPr>
          <w:tblHeader w:val="true"/>
        </w:trPr>
        <w:tc>
          <w:tcPr>
            <w:tcW w:type="dxa" w:w="1656"/>
            <w:shd w:fill="243B53"/>
            <w:vAlign w:val="center"/>
            <w:tcMar>
              <w:top w:w="100" w:type="dxa"/>
              <w:start w:w="120" w:type="dxa"/>
              <w:bottom w:w="100" w:type="dxa"/>
              <w:end w:w="120" w:type="dxa"/>
            </w:tcMar>
          </w:tcPr>
          <w:p>
            <w:pPr>
              <w:jc w:val="center"/>
            </w:pPr>
            <w:r>
              <w:rPr>
                <w:rFonts w:ascii="NanumGothic" w:hAnsi="NanumGothic" w:eastAsia="NanumGothic"/>
                <w:b/>
                <w:color w:val="FFFFFF"/>
                <w:sz w:val="18"/>
              </w:rPr>
              <w:t>세분화 기준</w:t>
            </w:r>
          </w:p>
        </w:tc>
        <w:tc>
          <w:tcPr>
            <w:tcW w:type="dxa" w:w="3528"/>
            <w:shd w:fill="243B53"/>
            <w:vAlign w:val="center"/>
            <w:tcMar>
              <w:top w:w="100" w:type="dxa"/>
              <w:start w:w="120" w:type="dxa"/>
              <w:bottom w:w="100" w:type="dxa"/>
              <w:end w:w="120" w:type="dxa"/>
            </w:tcMar>
          </w:tcPr>
          <w:p>
            <w:pPr>
              <w:jc w:val="center"/>
            </w:pPr>
            <w:r>
              <w:rPr>
                <w:rFonts w:ascii="NanumGothic" w:hAnsi="NanumGothic" w:eastAsia="NanumGothic"/>
                <w:b/>
                <w:color w:val="FFFFFF"/>
                <w:sz w:val="18"/>
              </w:rPr>
              <w:t>주요 변수와 의미</w:t>
            </w:r>
          </w:p>
        </w:tc>
        <w:tc>
          <w:tcPr>
            <w:tcW w:type="dxa" w:w="4248"/>
            <w:shd w:fill="243B53"/>
            <w:vAlign w:val="center"/>
            <w:tcMar>
              <w:top w:w="100" w:type="dxa"/>
              <w:start w:w="120" w:type="dxa"/>
              <w:bottom w:w="100" w:type="dxa"/>
              <w:end w:w="120" w:type="dxa"/>
            </w:tcMar>
          </w:tcPr>
          <w:p>
            <w:pPr>
              <w:jc w:val="center"/>
            </w:pPr>
            <w:r>
              <w:rPr>
                <w:rFonts w:ascii="NanumGothic" w:hAnsi="NanumGothic" w:eastAsia="NanumGothic"/>
                <w:b/>
                <w:color w:val="FFFFFF"/>
                <w:sz w:val="18"/>
              </w:rPr>
              <w:t>광고전략에의 활용</w:t>
            </w:r>
          </w:p>
        </w:tc>
      </w:tr>
      <w:tr>
        <w:tc>
          <w:tcPr>
            <w:tcW w:type="dxa" w:w="1656"/>
            <w:vAlign w:val="center"/>
            <w:tcMar>
              <w:top w:w="100" w:type="dxa"/>
              <w:start w:w="120" w:type="dxa"/>
              <w:bottom w:w="100" w:type="dxa"/>
              <w:end w:w="120" w:type="dxa"/>
            </w:tcMar>
          </w:tcPr>
          <w:p>
            <w:pPr>
              <w:spacing w:after="0" w:line="288" w:lineRule="auto"/>
              <w:jc w:val="center"/>
            </w:pPr>
            <w:r>
              <w:rPr>
                <w:rFonts w:ascii="NanumGothic" w:hAnsi="NanumGothic" w:eastAsia="NanumGothic"/>
                <w:b w:val="0"/>
                <w:color w:val="000000"/>
                <w:sz w:val="18"/>
              </w:rPr>
              <w:t>지리적 기준</w:t>
            </w:r>
          </w:p>
        </w:tc>
        <w:tc>
          <w:tcPr>
            <w:tcW w:type="dxa" w:w="3528"/>
            <w:vAlign w:val="center"/>
            <w:tcMar>
              <w:top w:w="100" w:type="dxa"/>
              <w:start w:w="120" w:type="dxa"/>
              <w:bottom w:w="100" w:type="dxa"/>
              <w:end w:w="120" w:type="dxa"/>
            </w:tcMar>
          </w:tcPr>
          <w:p>
            <w:pPr>
              <w:spacing w:after="0" w:line="288" w:lineRule="auto"/>
              <w:jc w:val="left"/>
            </w:pPr>
            <w:r>
              <w:rPr>
                <w:rFonts w:ascii="NanumGothic" w:hAnsi="NanumGothic" w:eastAsia="NanumGothic"/>
                <w:b w:val="0"/>
                <w:color w:val="000000"/>
                <w:sz w:val="18"/>
              </w:rPr>
              <w:t>지역, 기후, 도시 규모, 주거 환경</w:t>
            </w:r>
          </w:p>
        </w:tc>
        <w:tc>
          <w:tcPr>
            <w:tcW w:type="dxa" w:w="4248"/>
            <w:vAlign w:val="center"/>
            <w:tcMar>
              <w:top w:w="100" w:type="dxa"/>
              <w:start w:w="120" w:type="dxa"/>
              <w:bottom w:w="100" w:type="dxa"/>
              <w:end w:w="120" w:type="dxa"/>
            </w:tcMar>
          </w:tcPr>
          <w:p>
            <w:pPr>
              <w:spacing w:after="0" w:line="288" w:lineRule="auto"/>
              <w:jc w:val="left"/>
            </w:pPr>
            <w:r>
              <w:rPr>
                <w:rFonts w:ascii="NanumGothic" w:hAnsi="NanumGothic" w:eastAsia="NanumGothic"/>
                <w:b w:val="0"/>
                <w:color w:val="000000"/>
                <w:sz w:val="18"/>
              </w:rPr>
              <w:t>지역별 수요와 생활 장면을 반영하고 매체 도달 범위를 조정한다.</w:t>
            </w:r>
          </w:p>
        </w:tc>
      </w:tr>
      <w:tr>
        <w:tc>
          <w:tcPr>
            <w:tcW w:type="dxa" w:w="1656"/>
            <w:vAlign w:val="center"/>
            <w:tcMar>
              <w:top w:w="100" w:type="dxa"/>
              <w:start w:w="120" w:type="dxa"/>
              <w:bottom w:w="100" w:type="dxa"/>
              <w:end w:w="120" w:type="dxa"/>
            </w:tcMar>
            <w:shd w:fill="F3F7FA"/>
          </w:tcPr>
          <w:p>
            <w:pPr>
              <w:spacing w:after="0" w:line="288" w:lineRule="auto"/>
              <w:jc w:val="center"/>
            </w:pPr>
            <w:r>
              <w:rPr>
                <w:rFonts w:ascii="NanumGothic" w:hAnsi="NanumGothic" w:eastAsia="NanumGothic"/>
                <w:b w:val="0"/>
                <w:color w:val="000000"/>
                <w:sz w:val="18"/>
              </w:rPr>
              <w:t>인구통계적 기준</w:t>
            </w:r>
          </w:p>
        </w:tc>
        <w:tc>
          <w:tcPr>
            <w:tcW w:type="dxa" w:w="3528"/>
            <w:vAlign w:val="center"/>
            <w:tcMar>
              <w:top w:w="100" w:type="dxa"/>
              <w:start w:w="120" w:type="dxa"/>
              <w:bottom w:w="100" w:type="dxa"/>
              <w:end w:w="120" w:type="dxa"/>
            </w:tcMar>
            <w:shd w:fill="F3F7FA"/>
          </w:tcPr>
          <w:p>
            <w:pPr>
              <w:spacing w:after="0" w:line="288" w:lineRule="auto"/>
              <w:jc w:val="left"/>
            </w:pPr>
            <w:r>
              <w:rPr>
                <w:rFonts w:ascii="NanumGothic" w:hAnsi="NanumGothic" w:eastAsia="NanumGothic"/>
                <w:b w:val="0"/>
                <w:color w:val="000000"/>
                <w:sz w:val="18"/>
              </w:rPr>
              <w:t>연령, 소득, 직업, 가족생애주기, 가구 규모</w:t>
            </w:r>
          </w:p>
        </w:tc>
        <w:tc>
          <w:tcPr>
            <w:tcW w:type="dxa" w:w="4248"/>
            <w:vAlign w:val="center"/>
            <w:tcMar>
              <w:top w:w="100" w:type="dxa"/>
              <w:start w:w="120" w:type="dxa"/>
              <w:bottom w:w="100" w:type="dxa"/>
              <w:end w:w="120" w:type="dxa"/>
            </w:tcMar>
            <w:shd w:fill="F3F7FA"/>
          </w:tcPr>
          <w:p>
            <w:pPr>
              <w:spacing w:after="0" w:line="288" w:lineRule="auto"/>
              <w:jc w:val="left"/>
            </w:pPr>
            <w:r>
              <w:rPr>
                <w:rFonts w:ascii="NanumGothic" w:hAnsi="NanumGothic" w:eastAsia="NanumGothic"/>
                <w:b w:val="0"/>
                <w:color w:val="000000"/>
                <w:sz w:val="18"/>
              </w:rPr>
              <w:t>제품 가격대와 기능 수준, 모델과 언어의 난이도를 결정한다.</w:t>
            </w:r>
          </w:p>
        </w:tc>
      </w:tr>
      <w:tr>
        <w:tc>
          <w:tcPr>
            <w:tcW w:type="dxa" w:w="1656"/>
            <w:vAlign w:val="center"/>
            <w:tcMar>
              <w:top w:w="100" w:type="dxa"/>
              <w:start w:w="120" w:type="dxa"/>
              <w:bottom w:w="100" w:type="dxa"/>
              <w:end w:w="120" w:type="dxa"/>
            </w:tcMar>
          </w:tcPr>
          <w:p>
            <w:pPr>
              <w:spacing w:after="0" w:line="288" w:lineRule="auto"/>
              <w:jc w:val="center"/>
            </w:pPr>
            <w:r>
              <w:rPr>
                <w:rFonts w:ascii="NanumGothic" w:hAnsi="NanumGothic" w:eastAsia="NanumGothic"/>
                <w:b w:val="0"/>
                <w:color w:val="000000"/>
                <w:sz w:val="18"/>
              </w:rPr>
              <w:t>심리적 기준</w:t>
            </w:r>
          </w:p>
        </w:tc>
        <w:tc>
          <w:tcPr>
            <w:tcW w:type="dxa" w:w="3528"/>
            <w:vAlign w:val="center"/>
            <w:tcMar>
              <w:top w:w="100" w:type="dxa"/>
              <w:start w:w="120" w:type="dxa"/>
              <w:bottom w:w="100" w:type="dxa"/>
              <w:end w:w="120" w:type="dxa"/>
            </w:tcMar>
          </w:tcPr>
          <w:p>
            <w:pPr>
              <w:spacing w:after="0" w:line="288" w:lineRule="auto"/>
              <w:jc w:val="left"/>
            </w:pPr>
            <w:r>
              <w:rPr>
                <w:rFonts w:ascii="NanumGothic" w:hAnsi="NanumGothic" w:eastAsia="NanumGothic"/>
                <w:b w:val="0"/>
                <w:color w:val="000000"/>
                <w:sz w:val="18"/>
              </w:rPr>
              <w:t>가치관, 개성, 관심사, 생활양식</w:t>
            </w:r>
          </w:p>
        </w:tc>
        <w:tc>
          <w:tcPr>
            <w:tcW w:type="dxa" w:w="4248"/>
            <w:vAlign w:val="center"/>
            <w:tcMar>
              <w:top w:w="100" w:type="dxa"/>
              <w:start w:w="120" w:type="dxa"/>
              <w:bottom w:w="100" w:type="dxa"/>
              <w:end w:w="120" w:type="dxa"/>
            </w:tcMar>
          </w:tcPr>
          <w:p>
            <w:pPr>
              <w:spacing w:after="0" w:line="288" w:lineRule="auto"/>
              <w:jc w:val="left"/>
            </w:pPr>
            <w:r>
              <w:rPr>
                <w:rFonts w:ascii="NanumGothic" w:hAnsi="NanumGothic" w:eastAsia="NanumGothic"/>
                <w:b w:val="0"/>
                <w:color w:val="000000"/>
                <w:sz w:val="18"/>
              </w:rPr>
              <w:t>소비자가 공감할 상징, 분위기, 브랜드 성격을 설계한다.</w:t>
            </w:r>
          </w:p>
        </w:tc>
      </w:tr>
      <w:tr>
        <w:tc>
          <w:tcPr>
            <w:tcW w:type="dxa" w:w="1656"/>
            <w:vAlign w:val="center"/>
            <w:tcMar>
              <w:top w:w="100" w:type="dxa"/>
              <w:start w:w="120" w:type="dxa"/>
              <w:bottom w:w="100" w:type="dxa"/>
              <w:end w:w="120" w:type="dxa"/>
            </w:tcMar>
            <w:shd w:fill="F3F7FA"/>
          </w:tcPr>
          <w:p>
            <w:pPr>
              <w:spacing w:after="0" w:line="288" w:lineRule="auto"/>
              <w:jc w:val="center"/>
            </w:pPr>
            <w:r>
              <w:rPr>
                <w:rFonts w:ascii="NanumGothic" w:hAnsi="NanumGothic" w:eastAsia="NanumGothic"/>
                <w:b w:val="0"/>
                <w:color w:val="000000"/>
                <w:sz w:val="18"/>
              </w:rPr>
              <w:t>행동적 기준</w:t>
            </w:r>
          </w:p>
        </w:tc>
        <w:tc>
          <w:tcPr>
            <w:tcW w:type="dxa" w:w="3528"/>
            <w:vAlign w:val="center"/>
            <w:tcMar>
              <w:top w:w="100" w:type="dxa"/>
              <w:start w:w="120" w:type="dxa"/>
              <w:bottom w:w="100" w:type="dxa"/>
              <w:end w:w="120" w:type="dxa"/>
            </w:tcMar>
            <w:shd w:fill="F3F7FA"/>
          </w:tcPr>
          <w:p>
            <w:pPr>
              <w:spacing w:after="0" w:line="288" w:lineRule="auto"/>
              <w:jc w:val="left"/>
            </w:pPr>
            <w:r>
              <w:rPr>
                <w:rFonts w:ascii="NanumGothic" w:hAnsi="NanumGothic" w:eastAsia="NanumGothic"/>
                <w:b w:val="0"/>
                <w:color w:val="000000"/>
                <w:sz w:val="18"/>
              </w:rPr>
              <w:t>사용량, 충성도, 구매준비도, 추구 편익</w:t>
            </w:r>
          </w:p>
        </w:tc>
        <w:tc>
          <w:tcPr>
            <w:tcW w:type="dxa" w:w="4248"/>
            <w:vAlign w:val="center"/>
            <w:tcMar>
              <w:top w:w="100" w:type="dxa"/>
              <w:start w:w="120" w:type="dxa"/>
              <w:bottom w:w="100" w:type="dxa"/>
              <w:end w:w="120" w:type="dxa"/>
            </w:tcMar>
            <w:shd w:fill="F3F7FA"/>
          </w:tcPr>
          <w:p>
            <w:pPr>
              <w:spacing w:after="0" w:line="288" w:lineRule="auto"/>
              <w:jc w:val="left"/>
            </w:pPr>
            <w:r>
              <w:rPr>
                <w:rFonts w:ascii="NanumGothic" w:hAnsi="NanumGothic" w:eastAsia="NanumGothic"/>
                <w:b w:val="0"/>
                <w:color w:val="000000"/>
                <w:sz w:val="18"/>
              </w:rPr>
              <w:t>사용 상황과 핵심 편익을 구체화하고 전환 단계별 메시지를 달리한다.</w:t>
            </w:r>
          </w:p>
        </w:tc>
      </w:tr>
    </w:tbl>
    <w:p>
      <w:pPr>
        <w:spacing w:after="20"/>
      </w:pPr>
    </w:p>
    <w:p>
      <w:pPr>
        <w:pStyle w:val="BodyText"/>
        <w:spacing w:after="140" w:line="372" w:lineRule="auto"/>
        <w:ind w:firstLine="403"/>
        <w:jc w:val="both"/>
      </w:pPr>
      <w:r>
        <w:rPr>
          <w:rFonts w:ascii="NanumGothic" w:hAnsi="NanumGothic" w:eastAsia="NanumGothic"/>
          <w:b w:val="0"/>
          <w:color w:val="000000"/>
          <w:sz w:val="21"/>
        </w:rPr>
        <w:t>실무에서는 하나의 기준보다 여러 변수를 결합하는 방식이 유용하다. 예를 들어 도시의 아파트에 거주하는 맞벌이 2인 가구라는 지리적·인구통계적 특성에, 집을 자신의 취향대로 꾸미고 싶어 하는 심리적 특성과 필요한 용량을 단계적으로 확장하려는 행동적 특성을 더하면 훨씬 구체적인 세분시장이 된다. 이렇게 구체화된 고객상은 광고 제작자가 어떤 공간, 인물, 색상, 문장을 보여줄지 결정하는 기준이 된다.</w:t>
      </w:r>
    </w:p>
    <w:p>
      <w:pPr>
        <w:pStyle w:val="Heading2"/>
        <w:spacing w:before="200" w:after="140"/>
        <w:keepNext/>
      </w:pPr>
      <w:r>
        <w:rPr>
          <w:rFonts w:ascii="NanumGothic" w:hAnsi="NanumGothic" w:eastAsia="NanumGothic"/>
          <w:b/>
          <w:color w:val="000000"/>
          <w:sz w:val="24"/>
        </w:rPr>
        <w:t>2.3 효과적인 세분시장의 조건</w:t>
      </w:r>
    </w:p>
    <w:p>
      <w:pPr>
        <w:pStyle w:val="BodyText"/>
        <w:spacing w:after="140" w:line="372" w:lineRule="auto"/>
        <w:ind w:firstLine="403"/>
        <w:jc w:val="both"/>
      </w:pPr>
      <w:r>
        <w:rPr>
          <w:rFonts w:ascii="NanumGothic" w:hAnsi="NanumGothic" w:eastAsia="NanumGothic"/>
          <w:b w:val="0"/>
          <w:color w:val="000000"/>
          <w:sz w:val="21"/>
        </w:rPr>
        <w:t>효과적인 세분시장은 측정 가능성, 충분한 규모와 수익성, 접근 가능성, 집단 간 차별성, 실행 가능성을 갖춰야 한다. 소비자 집단이 흥미롭게 보이더라도 규모나 구매력을 추정할 수 없거나 광고와 유통으로 접근하기 어렵다면 전략적 가치가 낮다. 또한 서로 다른 집단이 동일한 마케팅 자극에 같은 반응을 보인다면 굳이 구분할 이유가 없다. 반대로 욕구 차이가 명확하고 기업이 이에 대응하는 제품과 메시지를 실행할 수 있다면 세분화는 경쟁우위의 기반이 된다.</w:t>
      </w:r>
    </w:p>
    <w:p>
      <w:pPr>
        <w:pStyle w:val="Heading1"/>
        <w:spacing w:before="260" w:after="140"/>
        <w:keepNext/>
      </w:pPr>
      <w:r>
        <w:rPr>
          <w:rFonts w:ascii="NanumGothic" w:hAnsi="NanumGothic" w:eastAsia="NanumGothic"/>
          <w:b/>
          <w:color w:val="000000"/>
          <w:sz w:val="30"/>
        </w:rPr>
        <w:t>3. 시장세분화에 따른 제품 포지셔닝 전략</w:t>
      </w:r>
    </w:p>
    <w:p>
      <w:pPr>
        <w:pStyle w:val="Heading2"/>
        <w:spacing w:before="200" w:after="140"/>
        <w:keepNext/>
      </w:pPr>
      <w:r>
        <w:rPr>
          <w:rFonts w:ascii="NanumGothic" w:hAnsi="NanumGothic" w:eastAsia="NanumGothic"/>
          <w:b/>
          <w:color w:val="000000"/>
          <w:sz w:val="24"/>
        </w:rPr>
        <w:t>3.1 표적시장 선정과 포지셔닝의 연결</w:t>
      </w:r>
    </w:p>
    <w:p>
      <w:pPr>
        <w:pStyle w:val="BodyText"/>
        <w:spacing w:after="140" w:line="372" w:lineRule="auto"/>
        <w:ind w:firstLine="403"/>
        <w:jc w:val="both"/>
      </w:pPr>
      <w:r>
        <w:rPr>
          <w:rFonts w:ascii="NanumGothic" w:hAnsi="NanumGothic" w:eastAsia="NanumGothic"/>
          <w:b w:val="0"/>
          <w:color w:val="000000"/>
          <w:sz w:val="21"/>
        </w:rPr>
        <w:t>기업은 세분시장별 매력도와 자사 적합성을 평가한 후 표적시장을 선택한다. 표적전략은 전체 시장에 하나의 제안을 제공하는 비차별화, 여러 세분시장에 각각 다른 제안을 제공하는 차별화, 특정 집단에 집중하는 집중화, 개인이나 지역 단위까지 맞추는 미시 마케팅으로 구분할 수 있다. 어떤 방식을 택하든 포지셔닝은 표적고객이 중요하게 여기는 편익을 중심으로 설정되어야 한다. 고소득 고객을 표적으로 삼으면서 광고에서는 낮은 가격만 강조하거나, 디자인 중시 고객에게 복잡한 기능 목록만 제시하면 세분화와 포지셔닝이 어긋난다.</w:t>
      </w:r>
    </w:p>
    <w:p>
      <w:pPr>
        <w:pStyle w:val="BodyText"/>
        <w:spacing w:after="140" w:line="372" w:lineRule="auto"/>
        <w:ind w:firstLine="403"/>
        <w:jc w:val="both"/>
      </w:pPr>
      <w:r>
        <w:rPr>
          <w:rFonts w:ascii="NanumGothic" w:hAnsi="NanumGothic" w:eastAsia="NanumGothic"/>
          <w:b w:val="0"/>
          <w:color w:val="000000"/>
          <w:sz w:val="21"/>
        </w:rPr>
        <w:t>포지셔닝은 소비자의 지각 속에서 형성되는 상대적 위치이다. 기업이 원하는 문구를 선언하는 것만으로 완성되지 않으며, 소비자가 경쟁 브랜드와 비교해 실제로 어떤 연상을 갖는지가 중요하다. 이를 위해 기업은 제품이 속한 범주와 경쟁 준거를 명확히 하고, 소비자가 믿을 수 있는 유사점과 차별점을 제시해야 한다. 유사점은 해당 범주에서 기본적으로 기대되는 성능을 갖추었다는 신뢰를 주고, 차별점은 선택 이유를 제공한다.</w:t>
      </w:r>
    </w:p>
    <w:p>
      <w:pPr>
        <w:pStyle w:val="Heading2"/>
        <w:spacing w:before="200" w:after="140"/>
        <w:keepNext/>
      </w:pPr>
      <w:r>
        <w:rPr>
          <w:rFonts w:ascii="NanumGothic" w:hAnsi="NanumGothic" w:eastAsia="NanumGothic"/>
          <w:b/>
          <w:color w:val="000000"/>
          <w:sz w:val="24"/>
        </w:rPr>
        <w:t>3.2 주요 제품 포지셔닝 전략</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3264"/>
        <w:gridCol w:w="3264"/>
        <w:gridCol w:w="3264"/>
      </w:tblGrid>
      <w:tr>
        <w:trPr>
          <w:tblHeader w:val="true"/>
        </w:trPr>
        <w:tc>
          <w:tcPr>
            <w:tcW w:type="dxa" w:w="1613"/>
            <w:shd w:fill="243B53"/>
            <w:vAlign w:val="center"/>
            <w:tcMar>
              <w:top w:w="100" w:type="dxa"/>
              <w:start w:w="120" w:type="dxa"/>
              <w:bottom w:w="100" w:type="dxa"/>
              <w:end w:w="120" w:type="dxa"/>
            </w:tcMar>
          </w:tcPr>
          <w:p>
            <w:pPr>
              <w:jc w:val="center"/>
            </w:pPr>
            <w:r>
              <w:rPr>
                <w:rFonts w:ascii="NanumGothic" w:hAnsi="NanumGothic" w:eastAsia="NanumGothic"/>
                <w:b/>
                <w:color w:val="FFFFFF"/>
                <w:sz w:val="18"/>
              </w:rPr>
              <w:t>전략 유형</w:t>
            </w:r>
          </w:p>
        </w:tc>
        <w:tc>
          <w:tcPr>
            <w:tcW w:type="dxa" w:w="3672"/>
            <w:shd w:fill="243B53"/>
            <w:vAlign w:val="center"/>
            <w:tcMar>
              <w:top w:w="100" w:type="dxa"/>
              <w:start w:w="120" w:type="dxa"/>
              <w:bottom w:w="100" w:type="dxa"/>
              <w:end w:w="120" w:type="dxa"/>
            </w:tcMar>
          </w:tcPr>
          <w:p>
            <w:pPr>
              <w:jc w:val="center"/>
            </w:pPr>
            <w:r>
              <w:rPr>
                <w:rFonts w:ascii="NanumGothic" w:hAnsi="NanumGothic" w:eastAsia="NanumGothic"/>
                <w:b/>
                <w:color w:val="FFFFFF"/>
                <w:sz w:val="18"/>
              </w:rPr>
              <w:t>핵심 내용</w:t>
            </w:r>
          </w:p>
        </w:tc>
        <w:tc>
          <w:tcPr>
            <w:tcW w:type="dxa" w:w="4147"/>
            <w:shd w:fill="243B53"/>
            <w:vAlign w:val="center"/>
            <w:tcMar>
              <w:top w:w="100" w:type="dxa"/>
              <w:start w:w="120" w:type="dxa"/>
              <w:bottom w:w="100" w:type="dxa"/>
              <w:end w:w="120" w:type="dxa"/>
            </w:tcMar>
          </w:tcPr>
          <w:p>
            <w:pPr>
              <w:jc w:val="center"/>
            </w:pPr>
            <w:r>
              <w:rPr>
                <w:rFonts w:ascii="NanumGothic" w:hAnsi="NanumGothic" w:eastAsia="NanumGothic"/>
                <w:b/>
                <w:color w:val="FFFFFF"/>
                <w:sz w:val="18"/>
              </w:rPr>
              <w:t>광고 표현 예시</w:t>
            </w:r>
          </w:p>
        </w:tc>
      </w:tr>
      <w:tr>
        <w:tc>
          <w:tcPr>
            <w:tcW w:type="dxa" w:w="1613"/>
            <w:vAlign w:val="center"/>
            <w:tcMar>
              <w:top w:w="100" w:type="dxa"/>
              <w:start w:w="120" w:type="dxa"/>
              <w:bottom w:w="100" w:type="dxa"/>
              <w:end w:w="120" w:type="dxa"/>
            </w:tcMar>
          </w:tcPr>
          <w:p>
            <w:pPr>
              <w:spacing w:after="0" w:line="288" w:lineRule="auto"/>
              <w:jc w:val="center"/>
            </w:pPr>
            <w:r>
              <w:rPr>
                <w:rFonts w:ascii="NanumGothic" w:hAnsi="NanumGothic" w:eastAsia="NanumGothic"/>
                <w:b w:val="0"/>
                <w:color w:val="000000"/>
                <w:sz w:val="18"/>
              </w:rPr>
              <w:t>속성 중심</w:t>
            </w:r>
          </w:p>
        </w:tc>
        <w:tc>
          <w:tcPr>
            <w:tcW w:type="dxa" w:w="3672"/>
            <w:vAlign w:val="center"/>
            <w:tcMar>
              <w:top w:w="100" w:type="dxa"/>
              <w:start w:w="120" w:type="dxa"/>
              <w:bottom w:w="100" w:type="dxa"/>
              <w:end w:w="120" w:type="dxa"/>
            </w:tcMar>
          </w:tcPr>
          <w:p>
            <w:pPr>
              <w:spacing w:after="0" w:line="288" w:lineRule="auto"/>
              <w:jc w:val="left"/>
            </w:pPr>
            <w:r>
              <w:rPr>
                <w:rFonts w:ascii="NanumGothic" w:hAnsi="NanumGothic" w:eastAsia="NanumGothic"/>
                <w:b w:val="0"/>
                <w:color w:val="000000"/>
                <w:sz w:val="18"/>
              </w:rPr>
              <w:t>기술, 재료, 디자인 등 구체적 특성을 강조</w:t>
            </w:r>
          </w:p>
        </w:tc>
        <w:tc>
          <w:tcPr>
            <w:tcW w:type="dxa" w:w="4147"/>
            <w:vAlign w:val="center"/>
            <w:tcMar>
              <w:top w:w="100" w:type="dxa"/>
              <w:start w:w="120" w:type="dxa"/>
              <w:bottom w:w="100" w:type="dxa"/>
              <w:end w:w="120" w:type="dxa"/>
            </w:tcMar>
          </w:tcPr>
          <w:p>
            <w:pPr>
              <w:spacing w:after="0" w:line="288" w:lineRule="auto"/>
              <w:jc w:val="left"/>
            </w:pPr>
            <w:r>
              <w:rPr>
                <w:rFonts w:ascii="NanumGothic" w:hAnsi="NanumGothic" w:eastAsia="NanumGothic"/>
                <w:b w:val="0"/>
                <w:color w:val="000000"/>
                <w:sz w:val="18"/>
              </w:rPr>
              <w:t>모듈 구조, 색상 선택, 저소음 수치 등을 시각적으로 제시한다.</w:t>
            </w:r>
          </w:p>
        </w:tc>
      </w:tr>
      <w:tr>
        <w:tc>
          <w:tcPr>
            <w:tcW w:type="dxa" w:w="1613"/>
            <w:vAlign w:val="center"/>
            <w:tcMar>
              <w:top w:w="100" w:type="dxa"/>
              <w:start w:w="120" w:type="dxa"/>
              <w:bottom w:w="100" w:type="dxa"/>
              <w:end w:w="120" w:type="dxa"/>
            </w:tcMar>
            <w:shd w:fill="F3F7FA"/>
          </w:tcPr>
          <w:p>
            <w:pPr>
              <w:spacing w:after="0" w:line="288" w:lineRule="auto"/>
              <w:jc w:val="center"/>
            </w:pPr>
            <w:r>
              <w:rPr>
                <w:rFonts w:ascii="NanumGothic" w:hAnsi="NanumGothic" w:eastAsia="NanumGothic"/>
                <w:b w:val="0"/>
                <w:color w:val="000000"/>
                <w:sz w:val="18"/>
              </w:rPr>
              <w:t>편익 중심</w:t>
            </w:r>
          </w:p>
        </w:tc>
        <w:tc>
          <w:tcPr>
            <w:tcW w:type="dxa" w:w="3672"/>
            <w:vAlign w:val="center"/>
            <w:tcMar>
              <w:top w:w="100" w:type="dxa"/>
              <w:start w:w="120" w:type="dxa"/>
              <w:bottom w:w="100" w:type="dxa"/>
              <w:end w:w="120" w:type="dxa"/>
            </w:tcMar>
            <w:shd w:fill="F3F7FA"/>
          </w:tcPr>
          <w:p>
            <w:pPr>
              <w:spacing w:after="0" w:line="288" w:lineRule="auto"/>
              <w:jc w:val="left"/>
            </w:pPr>
            <w:r>
              <w:rPr>
                <w:rFonts w:ascii="NanumGothic" w:hAnsi="NanumGothic" w:eastAsia="NanumGothic"/>
                <w:b w:val="0"/>
                <w:color w:val="000000"/>
                <w:sz w:val="18"/>
              </w:rPr>
              <w:t>속성이 제공하는 기능적·정서적 결과를 강조</w:t>
            </w:r>
          </w:p>
        </w:tc>
        <w:tc>
          <w:tcPr>
            <w:tcW w:type="dxa" w:w="4147"/>
            <w:vAlign w:val="center"/>
            <w:tcMar>
              <w:top w:w="100" w:type="dxa"/>
              <w:start w:w="120" w:type="dxa"/>
              <w:bottom w:w="100" w:type="dxa"/>
              <w:end w:w="120" w:type="dxa"/>
            </w:tcMar>
            <w:shd w:fill="F3F7FA"/>
          </w:tcPr>
          <w:p>
            <w:pPr>
              <w:spacing w:after="0" w:line="288" w:lineRule="auto"/>
              <w:jc w:val="left"/>
            </w:pPr>
            <w:r>
              <w:rPr>
                <w:rFonts w:ascii="NanumGothic" w:hAnsi="NanumGothic" w:eastAsia="NanumGothic"/>
                <w:b w:val="0"/>
                <w:color w:val="000000"/>
                <w:sz w:val="18"/>
              </w:rPr>
              <w:t>정리의 편리함, 공간 조화, 자기표현의 만족을 보여준다.</w:t>
            </w:r>
          </w:p>
        </w:tc>
      </w:tr>
      <w:tr>
        <w:tc>
          <w:tcPr>
            <w:tcW w:type="dxa" w:w="1613"/>
            <w:vAlign w:val="center"/>
            <w:tcMar>
              <w:top w:w="100" w:type="dxa"/>
              <w:start w:w="120" w:type="dxa"/>
              <w:bottom w:w="100" w:type="dxa"/>
              <w:end w:w="120" w:type="dxa"/>
            </w:tcMar>
          </w:tcPr>
          <w:p>
            <w:pPr>
              <w:spacing w:after="0" w:line="288" w:lineRule="auto"/>
              <w:jc w:val="center"/>
            </w:pPr>
            <w:r>
              <w:rPr>
                <w:rFonts w:ascii="NanumGothic" w:hAnsi="NanumGothic" w:eastAsia="NanumGothic"/>
                <w:b w:val="0"/>
                <w:color w:val="000000"/>
                <w:sz w:val="18"/>
              </w:rPr>
              <w:t>사용상황 중심</w:t>
            </w:r>
          </w:p>
        </w:tc>
        <w:tc>
          <w:tcPr>
            <w:tcW w:type="dxa" w:w="3672"/>
            <w:vAlign w:val="center"/>
            <w:tcMar>
              <w:top w:w="100" w:type="dxa"/>
              <w:start w:w="120" w:type="dxa"/>
              <w:bottom w:w="100" w:type="dxa"/>
              <w:end w:w="120" w:type="dxa"/>
            </w:tcMar>
          </w:tcPr>
          <w:p>
            <w:pPr>
              <w:spacing w:after="0" w:line="288" w:lineRule="auto"/>
              <w:jc w:val="left"/>
            </w:pPr>
            <w:r>
              <w:rPr>
                <w:rFonts w:ascii="NanumGothic" w:hAnsi="NanumGothic" w:eastAsia="NanumGothic"/>
                <w:b w:val="0"/>
                <w:color w:val="000000"/>
                <w:sz w:val="18"/>
              </w:rPr>
              <w:t>특정 시간, 장소, 과업에서의 적합성을 강조</w:t>
            </w:r>
          </w:p>
        </w:tc>
        <w:tc>
          <w:tcPr>
            <w:tcW w:type="dxa" w:w="4147"/>
            <w:vAlign w:val="center"/>
            <w:tcMar>
              <w:top w:w="100" w:type="dxa"/>
              <w:start w:w="120" w:type="dxa"/>
              <w:bottom w:w="100" w:type="dxa"/>
              <w:end w:w="120" w:type="dxa"/>
            </w:tcMar>
          </w:tcPr>
          <w:p>
            <w:pPr>
              <w:spacing w:after="0" w:line="288" w:lineRule="auto"/>
              <w:jc w:val="left"/>
            </w:pPr>
            <w:r>
              <w:rPr>
                <w:rFonts w:ascii="NanumGothic" w:hAnsi="NanumGothic" w:eastAsia="NanumGothic"/>
                <w:b w:val="0"/>
                <w:color w:val="000000"/>
                <w:sz w:val="18"/>
              </w:rPr>
              <w:t>1인 생활, 홈파티, 육아 가정 등 구체적 장면을 제시한다.</w:t>
            </w:r>
          </w:p>
        </w:tc>
      </w:tr>
      <w:tr>
        <w:tc>
          <w:tcPr>
            <w:tcW w:type="dxa" w:w="1613"/>
            <w:vAlign w:val="center"/>
            <w:tcMar>
              <w:top w:w="100" w:type="dxa"/>
              <w:start w:w="120" w:type="dxa"/>
              <w:bottom w:w="100" w:type="dxa"/>
              <w:end w:w="120" w:type="dxa"/>
            </w:tcMar>
            <w:shd w:fill="F3F7FA"/>
          </w:tcPr>
          <w:p>
            <w:pPr>
              <w:spacing w:after="0" w:line="288" w:lineRule="auto"/>
              <w:jc w:val="center"/>
            </w:pPr>
            <w:r>
              <w:rPr>
                <w:rFonts w:ascii="NanumGothic" w:hAnsi="NanumGothic" w:eastAsia="NanumGothic"/>
                <w:b w:val="0"/>
                <w:color w:val="000000"/>
                <w:sz w:val="18"/>
              </w:rPr>
              <w:t>사용자 중심</w:t>
            </w:r>
          </w:p>
        </w:tc>
        <w:tc>
          <w:tcPr>
            <w:tcW w:type="dxa" w:w="3672"/>
            <w:vAlign w:val="center"/>
            <w:tcMar>
              <w:top w:w="100" w:type="dxa"/>
              <w:start w:w="120" w:type="dxa"/>
              <w:bottom w:w="100" w:type="dxa"/>
              <w:end w:w="120" w:type="dxa"/>
            </w:tcMar>
            <w:shd w:fill="F3F7FA"/>
          </w:tcPr>
          <w:p>
            <w:pPr>
              <w:spacing w:after="0" w:line="288" w:lineRule="auto"/>
              <w:jc w:val="left"/>
            </w:pPr>
            <w:r>
              <w:rPr>
                <w:rFonts w:ascii="NanumGothic" w:hAnsi="NanumGothic" w:eastAsia="NanumGothic"/>
                <w:b w:val="0"/>
                <w:color w:val="000000"/>
                <w:sz w:val="18"/>
              </w:rPr>
              <w:t>특정 사용자 집단의 정체성과 연결</w:t>
            </w:r>
          </w:p>
        </w:tc>
        <w:tc>
          <w:tcPr>
            <w:tcW w:type="dxa" w:w="4147"/>
            <w:vAlign w:val="center"/>
            <w:tcMar>
              <w:top w:w="100" w:type="dxa"/>
              <w:start w:w="120" w:type="dxa"/>
              <w:bottom w:w="100" w:type="dxa"/>
              <w:end w:w="120" w:type="dxa"/>
            </w:tcMar>
            <w:shd w:fill="F3F7FA"/>
          </w:tcPr>
          <w:p>
            <w:pPr>
              <w:spacing w:after="0" w:line="288" w:lineRule="auto"/>
              <w:jc w:val="left"/>
            </w:pPr>
            <w:r>
              <w:rPr>
                <w:rFonts w:ascii="NanumGothic" w:hAnsi="NanumGothic" w:eastAsia="NanumGothic"/>
                <w:b w:val="0"/>
                <w:color w:val="000000"/>
                <w:sz w:val="18"/>
              </w:rPr>
              <w:t>취향을 중시하는 도시 생활자나 신혼가구의 모습을 활용한다.</w:t>
            </w:r>
          </w:p>
        </w:tc>
      </w:tr>
      <w:tr>
        <w:tc>
          <w:tcPr>
            <w:tcW w:type="dxa" w:w="1613"/>
            <w:vAlign w:val="center"/>
            <w:tcMar>
              <w:top w:w="100" w:type="dxa"/>
              <w:start w:w="120" w:type="dxa"/>
              <w:bottom w:w="100" w:type="dxa"/>
              <w:end w:w="120" w:type="dxa"/>
            </w:tcMar>
          </w:tcPr>
          <w:p>
            <w:pPr>
              <w:spacing w:after="0" w:line="288" w:lineRule="auto"/>
              <w:jc w:val="center"/>
            </w:pPr>
            <w:r>
              <w:rPr>
                <w:rFonts w:ascii="NanumGothic" w:hAnsi="NanumGothic" w:eastAsia="NanumGothic"/>
                <w:b w:val="0"/>
                <w:color w:val="000000"/>
                <w:sz w:val="18"/>
              </w:rPr>
              <w:t>경쟁 대비</w:t>
            </w:r>
          </w:p>
        </w:tc>
        <w:tc>
          <w:tcPr>
            <w:tcW w:type="dxa" w:w="3672"/>
            <w:vAlign w:val="center"/>
            <w:tcMar>
              <w:top w:w="100" w:type="dxa"/>
              <w:start w:w="120" w:type="dxa"/>
              <w:bottom w:w="100" w:type="dxa"/>
              <w:end w:w="120" w:type="dxa"/>
            </w:tcMar>
          </w:tcPr>
          <w:p>
            <w:pPr>
              <w:spacing w:after="0" w:line="288" w:lineRule="auto"/>
              <w:jc w:val="left"/>
            </w:pPr>
            <w:r>
              <w:rPr>
                <w:rFonts w:ascii="NanumGothic" w:hAnsi="NanumGothic" w:eastAsia="NanumGothic"/>
                <w:b w:val="0"/>
                <w:color w:val="000000"/>
                <w:sz w:val="18"/>
              </w:rPr>
              <w:t>경쟁 대안과 다른 기준을 제시</w:t>
            </w:r>
          </w:p>
        </w:tc>
        <w:tc>
          <w:tcPr>
            <w:tcW w:type="dxa" w:w="4147"/>
            <w:vAlign w:val="center"/>
            <w:tcMar>
              <w:top w:w="100" w:type="dxa"/>
              <w:start w:w="120" w:type="dxa"/>
              <w:bottom w:w="100" w:type="dxa"/>
              <w:end w:w="120" w:type="dxa"/>
            </w:tcMar>
          </w:tcPr>
          <w:p>
            <w:pPr>
              <w:spacing w:after="0" w:line="288" w:lineRule="auto"/>
              <w:jc w:val="left"/>
            </w:pPr>
            <w:r>
              <w:rPr>
                <w:rFonts w:ascii="NanumGothic" w:hAnsi="NanumGothic" w:eastAsia="NanumGothic"/>
                <w:b w:val="0"/>
                <w:color w:val="000000"/>
                <w:sz w:val="18"/>
              </w:rPr>
              <w:t>획일적 완제품 대신 조합하고 확장하는 가전이라는 기준을 만든다.</w:t>
            </w:r>
          </w:p>
        </w:tc>
      </w:tr>
      <w:tr>
        <w:tc>
          <w:tcPr>
            <w:tcW w:type="dxa" w:w="1613"/>
            <w:vAlign w:val="center"/>
            <w:tcMar>
              <w:top w:w="100" w:type="dxa"/>
              <w:start w:w="120" w:type="dxa"/>
              <w:bottom w:w="100" w:type="dxa"/>
              <w:end w:w="120" w:type="dxa"/>
            </w:tcMar>
            <w:shd w:fill="F3F7FA"/>
          </w:tcPr>
          <w:p>
            <w:pPr>
              <w:spacing w:after="0" w:line="288" w:lineRule="auto"/>
              <w:jc w:val="center"/>
            </w:pPr>
            <w:r>
              <w:rPr>
                <w:rFonts w:ascii="NanumGothic" w:hAnsi="NanumGothic" w:eastAsia="NanumGothic"/>
                <w:b w:val="0"/>
                <w:color w:val="000000"/>
                <w:sz w:val="18"/>
              </w:rPr>
              <w:t>가치·품질 중심</w:t>
            </w:r>
          </w:p>
        </w:tc>
        <w:tc>
          <w:tcPr>
            <w:tcW w:type="dxa" w:w="3672"/>
            <w:vAlign w:val="center"/>
            <w:tcMar>
              <w:top w:w="100" w:type="dxa"/>
              <w:start w:w="120" w:type="dxa"/>
              <w:bottom w:w="100" w:type="dxa"/>
              <w:end w:w="120" w:type="dxa"/>
            </w:tcMar>
            <w:shd w:fill="F3F7FA"/>
          </w:tcPr>
          <w:p>
            <w:pPr>
              <w:spacing w:after="0" w:line="288" w:lineRule="auto"/>
              <w:jc w:val="left"/>
            </w:pPr>
            <w:r>
              <w:rPr>
                <w:rFonts w:ascii="NanumGothic" w:hAnsi="NanumGothic" w:eastAsia="NanumGothic"/>
                <w:b w:val="0"/>
                <w:color w:val="000000"/>
                <w:sz w:val="18"/>
              </w:rPr>
              <w:t>가격 대비 가치 또는 프리미엄 품질을 강조</w:t>
            </w:r>
          </w:p>
        </w:tc>
        <w:tc>
          <w:tcPr>
            <w:tcW w:type="dxa" w:w="4147"/>
            <w:vAlign w:val="center"/>
            <w:tcMar>
              <w:top w:w="100" w:type="dxa"/>
              <w:start w:w="120" w:type="dxa"/>
              <w:bottom w:w="100" w:type="dxa"/>
              <w:end w:w="120" w:type="dxa"/>
            </w:tcMar>
            <w:shd w:fill="F3F7FA"/>
          </w:tcPr>
          <w:p>
            <w:pPr>
              <w:spacing w:after="0" w:line="288" w:lineRule="auto"/>
              <w:jc w:val="left"/>
            </w:pPr>
            <w:r>
              <w:rPr>
                <w:rFonts w:ascii="NanumGothic" w:hAnsi="NanumGothic" w:eastAsia="NanumGothic"/>
                <w:b w:val="0"/>
                <w:color w:val="000000"/>
                <w:sz w:val="18"/>
              </w:rPr>
              <w:t>장기 사용과 공간 가치까지 포함한 총체적 편익을 설득한다.</w:t>
            </w:r>
          </w:p>
        </w:tc>
      </w:tr>
    </w:tbl>
    <w:p>
      <w:pPr>
        <w:spacing w:after="20"/>
      </w:pPr>
    </w:p>
    <w:p>
      <w:pPr>
        <w:pStyle w:val="Heading2"/>
        <w:spacing w:before="200" w:after="140"/>
        <w:keepNext/>
      </w:pPr>
      <w:r>
        <w:rPr>
          <w:rFonts w:ascii="NanumGothic" w:hAnsi="NanumGothic" w:eastAsia="NanumGothic"/>
          <w:b/>
          <w:color w:val="000000"/>
          <w:sz w:val="24"/>
        </w:rPr>
        <w:t>3.3 포지셔닝 문장과 가치제안 설계</w:t>
      </w:r>
    </w:p>
    <w:p>
      <w:pPr>
        <w:pStyle w:val="BodyText"/>
        <w:spacing w:after="140" w:line="372" w:lineRule="auto"/>
        <w:ind w:firstLine="403"/>
        <w:jc w:val="both"/>
      </w:pPr>
      <w:r>
        <w:rPr>
          <w:rFonts w:ascii="NanumGothic" w:hAnsi="NanumGothic" w:eastAsia="NanumGothic"/>
          <w:b w:val="0"/>
          <w:color w:val="000000"/>
          <w:sz w:val="21"/>
        </w:rPr>
        <w:t>실무적인 포지셔닝 문장은 표적고객, 시장 범주, 핵심 차별점, 신뢰 근거를 포함한다. 예를 들어 “획일적인 주방가전보다 자신의 주거와 취향에 맞는 선택을 원하는 생활자에게, 비스포크는 색상과 모듈을 조합할 수 있는 맞춤형 가전이며, 실제 패널 선택과 제품 확장 구조가 이를 뒷받침한다”와 같이 정리할 수 있다. 이 문장은 내부 전략 기준으로 사용되고, 소비자에게는 더 짧고 기억하기 쉬운 광고 메시지로 변환된다.</w:t>
      </w:r>
    </w:p>
    <w:p>
      <w:pPr>
        <w:pStyle w:val="BodyText"/>
        <w:spacing w:after="140" w:line="372" w:lineRule="auto"/>
        <w:ind w:firstLine="403"/>
        <w:jc w:val="both"/>
      </w:pPr>
      <w:r>
        <w:rPr>
          <w:rFonts w:ascii="NanumGothic" w:hAnsi="NanumGothic" w:eastAsia="NanumGothic"/>
          <w:b w:val="0"/>
          <w:color w:val="000000"/>
          <w:sz w:val="21"/>
        </w:rPr>
        <w:t>좋은 포지셔닝은 중요성, 독특성, 우월성, 전달 가능성, 선점 가능성, 구매 가능성, 수익성을 함께 고려해야 한다. 소비자에게 중요하지 않은 차별점은 선택을 만들지 못하고, 쉽게 복제되는 차별점은 지속성이 낮다. 또한 광고가 약속한 가치가 실제 제품, 가격, 구매 과정, 사후서비스에서 확인되어야 한다. 따라서 포지셔닝은 광고부서만의 문구 작업이 아니라 제품개발과 유통, 서비스 전반을 연결하는 기준이다.</w:t>
      </w:r>
    </w:p>
    <w:p>
      <w:pPr>
        <w:pStyle w:val="Heading2"/>
        <w:spacing w:before="200" w:after="140"/>
        <w:keepNext/>
      </w:pPr>
      <w:r>
        <w:rPr>
          <w:rFonts w:ascii="NanumGothic" w:hAnsi="NanumGothic" w:eastAsia="NanumGothic"/>
          <w:b/>
          <w:color w:val="000000"/>
          <w:sz w:val="24"/>
        </w:rPr>
        <w:t>3.4 세분화 정보의 광고전략 전환</w:t>
      </w:r>
    </w:p>
    <w:p>
      <w:pPr>
        <w:pStyle w:val="BodyText"/>
        <w:spacing w:after="140" w:line="372" w:lineRule="auto"/>
        <w:ind w:firstLine="403"/>
        <w:jc w:val="both"/>
      </w:pPr>
      <w:r>
        <w:rPr>
          <w:rFonts w:ascii="NanumGothic" w:hAnsi="NanumGothic" w:eastAsia="NanumGothic"/>
          <w:b w:val="0"/>
          <w:color w:val="000000"/>
          <w:sz w:val="21"/>
        </w:rPr>
        <w:t>세분화 자료는 광고의 목표, 핵심 메시지, 표현 방식, 매체 선택을 구체화한다. 먼저 표적고객의 구매단계가 낮은 인지도 수준인지, 비교·검토 단계인지에 따라 광고목표가 달라진다. 다음으로 추구 편익을 한 문장으로 압축하여 메시지의 중심을 정한다. 기능 편익이 중요한 집단에는 성능 증거와 시연이 효과적이고, 정체성과 취향이 중요한 집단에는 상징적 이미지와 사용자 이야기가 효과적이다. 매체 또한 표적고객의 접점에 따라 텔레비전, 온라인 동영상, 검색, 사회관계망서비스, 매장 체험을 조합해야 한다.</w:t>
      </w:r>
    </w:p>
    <w:p>
      <w:pPr>
        <w:pStyle w:val="BodyText"/>
        <w:spacing w:after="140" w:line="372" w:lineRule="auto"/>
        <w:ind w:firstLine="403"/>
        <w:jc w:val="both"/>
      </w:pPr>
      <w:r>
        <w:rPr>
          <w:rFonts w:ascii="NanumGothic" w:hAnsi="NanumGothic" w:eastAsia="NanumGothic"/>
          <w:b w:val="0"/>
          <w:color w:val="000000"/>
          <w:sz w:val="21"/>
        </w:rPr>
        <w:t>광고표현은 세분시장의 특징을 과도하게 고정관념화하지 않도록 주의해야 한다. 예를 들어 젊은 소비자를 단순히 유행 추종자로 묘사하거나 1인 가구를 모두 경제적 소형 제품 구매자로 가정하면 실제 욕구를 놓칠 수 있다. 같은 1인 가구 안에서도 요리를 즐기는 집단, 배달 중심 집단, 인테리어를 중시하는 집단이 다르다. 따라서 광고는 통계적 평균뿐 아니라 고객 인터뷰와 사용 맥락을 통해 세분시장의 내부 다양성을 확인해야 한다.</w:t>
      </w:r>
    </w:p>
    <w:p>
      <w:pPr>
        <w:pStyle w:val="Heading2"/>
        <w:spacing w:before="200" w:after="140"/>
        <w:keepNext/>
      </w:pPr>
      <w:r>
        <w:rPr>
          <w:rFonts w:ascii="NanumGothic" w:hAnsi="NanumGothic" w:eastAsia="NanumGothic"/>
          <w:b/>
          <w:color w:val="000000"/>
          <w:sz w:val="24"/>
        </w:rPr>
        <w:t>3.5 지각도와 재포지셔닝</w:t>
      </w:r>
    </w:p>
    <w:p>
      <w:pPr>
        <w:pStyle w:val="BodyText"/>
        <w:spacing w:after="140" w:line="372" w:lineRule="auto"/>
        <w:ind w:firstLine="403"/>
        <w:jc w:val="both"/>
      </w:pPr>
      <w:r>
        <w:rPr>
          <w:rFonts w:ascii="NanumGothic" w:hAnsi="NanumGothic" w:eastAsia="NanumGothic"/>
          <w:b w:val="0"/>
          <w:color w:val="000000"/>
          <w:sz w:val="21"/>
        </w:rPr>
        <w:t>기업은 가격, 품질, 혁신성, 친환경성, 맞춤성 등 고객이 중요하게 인식하는 축을 이용하여 브랜드 지각도를 작성할 수 있다. 지각도는 시장의 빈 공간과 경쟁 밀집 구간을 보여주지만, 축의 선택이 소비자 조사에 근거해야 한다. 비스포크 사례를 가정하면 가로축을 표준화에서 맞춤화로, 세로축을 기능 중심에서 공간·취향 중심으로 설정할 수 있다. 기존 냉장고가 표준화와 기능 중심에 몰려 있었다면 비스포크는 맞춤화와 공간·취향 영역을 선점하려는 포지셔닝으로 해석된다.</w:t>
      </w:r>
    </w:p>
    <w:p>
      <w:pPr>
        <w:pStyle w:val="BodyText"/>
        <w:spacing w:after="140" w:line="372" w:lineRule="auto"/>
        <w:ind w:firstLine="403"/>
        <w:jc w:val="both"/>
      </w:pPr>
      <w:r>
        <w:rPr>
          <w:rFonts w:ascii="NanumGothic" w:hAnsi="NanumGothic" w:eastAsia="NanumGothic"/>
          <w:b w:val="0"/>
          <w:color w:val="000000"/>
          <w:sz w:val="21"/>
        </w:rPr>
        <w:t>시장과 경쟁이 변하면 재포지셔닝이 필요하다. 다만 기존 연상을 갑자기 버리면 충성고객의 혼란과 신뢰 약화가 발생할 수 있다. 따라서 핵심 정체성은 유지하면서 새로운 편익을 확장하는 방식이 바람직하다. 비스포크가 냉장고에서 시작해 세탁기, 에어컨, 청소기 등 생활가전 전체로 확장한 것은 “개인화된 공간 경험”이라는 중심 연상을 유지하면서 제품 범주를 넓힌 사례로 볼 수 있다.</w:t>
      </w:r>
    </w:p>
    <w:p>
      <w:pPr>
        <w:pStyle w:val="Heading2"/>
        <w:spacing w:before="200" w:after="140"/>
        <w:keepNext/>
      </w:pPr>
      <w:r>
        <w:rPr>
          <w:rFonts w:ascii="NanumGothic" w:hAnsi="NanumGothic" w:eastAsia="NanumGothic"/>
          <w:b/>
          <w:color w:val="000000"/>
          <w:sz w:val="24"/>
        </w:rPr>
        <w:t>광고성과 평가 기준</w:t>
      </w:r>
    </w:p>
    <w:p>
      <w:pPr>
        <w:pStyle w:val="ListBullet"/>
        <w:spacing w:after="80" w:line="324" w:lineRule="auto"/>
        <w:ind w:left="360" w:hanging="259"/>
      </w:pPr>
      <w:r>
        <w:rPr>
          <w:rFonts w:ascii="NanumGothic" w:hAnsi="NanumGothic" w:eastAsia="NanumGothic"/>
          <w:b w:val="0"/>
          <w:color w:val="000000"/>
          <w:sz w:val="20"/>
        </w:rPr>
        <w:t>인지 성과: 표적고객이 브랜드와 핵심 차별점을 정확히 기억하는가.</w:t>
      </w:r>
    </w:p>
    <w:p>
      <w:pPr>
        <w:pStyle w:val="ListBullet"/>
        <w:spacing w:after="80" w:line="324" w:lineRule="auto"/>
        <w:ind w:left="360" w:hanging="259"/>
      </w:pPr>
      <w:r>
        <w:rPr>
          <w:rFonts w:ascii="NanumGothic" w:hAnsi="NanumGothic" w:eastAsia="NanumGothic"/>
          <w:b w:val="0"/>
          <w:color w:val="000000"/>
          <w:sz w:val="20"/>
        </w:rPr>
        <w:t>태도 성과: 광고 노출 후 맞춤성, 디자인성, 신뢰성에 대한 평가가 높아지는가.</w:t>
      </w:r>
    </w:p>
    <w:p>
      <w:pPr>
        <w:pStyle w:val="ListBullet"/>
        <w:spacing w:after="80" w:line="324" w:lineRule="auto"/>
        <w:ind w:left="360" w:hanging="259"/>
      </w:pPr>
      <w:r>
        <w:rPr>
          <w:rFonts w:ascii="NanumGothic" w:hAnsi="NanumGothic" w:eastAsia="NanumGothic"/>
          <w:b w:val="0"/>
          <w:color w:val="000000"/>
          <w:sz w:val="20"/>
        </w:rPr>
        <w:t>행동 성과: 검색, 구성 체험, 매장 방문, 상담, 구매 전환이 증가하는가.</w:t>
      </w:r>
    </w:p>
    <w:p>
      <w:pPr>
        <w:pStyle w:val="ListBullet"/>
        <w:spacing w:after="80" w:line="324" w:lineRule="auto"/>
        <w:ind w:left="360" w:hanging="259"/>
      </w:pPr>
      <w:r>
        <w:rPr>
          <w:rFonts w:ascii="NanumGothic" w:hAnsi="NanumGothic" w:eastAsia="NanumGothic"/>
          <w:b w:val="0"/>
          <w:color w:val="000000"/>
          <w:sz w:val="20"/>
        </w:rPr>
        <w:t>전략 성과: 비표적 노출량보다 핵심 세분시장의 반응과 고객생애가치가 개선되는가.</w:t>
      </w:r>
    </w:p>
    <w:p>
      <w:r>
        <w:br w:type="page"/>
      </w:r>
    </w:p>
    <w:p>
      <w:pPr>
        <w:pStyle w:val="Heading1"/>
        <w:spacing w:before="260" w:after="140"/>
        <w:keepNext/>
      </w:pPr>
      <w:r>
        <w:rPr>
          <w:rFonts w:ascii="NanumGothic" w:hAnsi="NanumGothic" w:eastAsia="NanumGothic"/>
          <w:b/>
          <w:color w:val="000000"/>
          <w:sz w:val="30"/>
        </w:rPr>
        <w:t>4. 삼성전자 비스포크 광고사례 분석</w:t>
      </w:r>
    </w:p>
    <w:p>
      <w:pPr>
        <w:pStyle w:val="Heading2"/>
        <w:spacing w:before="200" w:after="140"/>
        <w:keepNext/>
      </w:pPr>
      <w:r>
        <w:rPr>
          <w:rFonts w:ascii="NanumGothic" w:hAnsi="NanumGothic" w:eastAsia="NanumGothic"/>
          <w:b/>
          <w:color w:val="000000"/>
          <w:sz w:val="24"/>
        </w:rPr>
        <w:t>4.1 사례 개요</w:t>
      </w:r>
    </w:p>
    <w:p>
      <w:pPr>
        <w:pStyle w:val="BodyText"/>
        <w:spacing w:after="140" w:line="372" w:lineRule="auto"/>
        <w:ind w:firstLine="403"/>
        <w:jc w:val="both"/>
      </w:pPr>
      <w:r>
        <w:rPr>
          <w:rFonts w:ascii="NanumGothic" w:hAnsi="NanumGothic" w:eastAsia="NanumGothic"/>
          <w:b w:val="0"/>
          <w:color w:val="000000"/>
          <w:sz w:val="21"/>
        </w:rPr>
        <w:t>삼성전자는 2019년 맞춤형 냉장고 비스포크를 선보이며 소비자가 제품 유형과 색상, 소재 등을 선택해 주거 공간에 맞게 조합할 수 있다는 가치를 강조했다. 이후 비스포크 개념을 생활가전 전반으로 확장하였다. 2021년 제일기획이 제작한 COME BESPOKE HOME 캠페인은 서태지의 ‘컴백홈’을 활용해 냉장고에 한정되었던 브랜드를 집 전체의 가전 경험으로 넓히는 메시지를 전달했다. 제일기획은 해당 광고가 에어컨, 세탁기, 무선청소기 등 생활가전 전체로 확장된 비스포크의 비전을 담았다고 설명하였다(제일기획, 2021).</w:t>
      </w:r>
    </w:p>
    <w:p>
      <w:pPr>
        <w:pStyle w:val="Heading2"/>
        <w:spacing w:before="200" w:after="140"/>
        <w:keepNext/>
      </w:pPr>
      <w:r>
        <w:rPr>
          <w:rFonts w:ascii="NanumGothic" w:hAnsi="NanumGothic" w:eastAsia="NanumGothic"/>
          <w:b/>
          <w:color w:val="000000"/>
          <w:sz w:val="24"/>
        </w:rPr>
        <w:t>4.2 시장세분화와 표적고객</w:t>
      </w:r>
    </w:p>
    <w:p>
      <w:pPr>
        <w:pStyle w:val="BodyText"/>
        <w:spacing w:after="140" w:line="372" w:lineRule="auto"/>
        <w:ind w:firstLine="403"/>
        <w:jc w:val="both"/>
      </w:pPr>
      <w:r>
        <w:rPr>
          <w:rFonts w:ascii="NanumGothic" w:hAnsi="NanumGothic" w:eastAsia="NanumGothic"/>
          <w:b w:val="0"/>
          <w:color w:val="000000"/>
          <w:sz w:val="21"/>
        </w:rPr>
        <w:t>이 사례의 핵심 세분화 기준은 연령 자체보다 생활양식과 추구 편익이다. 첫 번째 집단은 집을 단순한 거주 공간이 아니라 자기 취향을 표현하는 공간으로 인식한다. 두 번째 집단은 가족 규모와 주거 변화에 따라 필요한 가전의 종류와 용량이 달라질 수 있다고 본다. 세 번째 집단은 기능의 우수성뿐 아니라 색상, 소재, 배치의 조화를 중요하게 평가한다. 이들은 대체로 디지털 콘텐츠와 인테리어 정보에 익숙하며, 구매 전에 다양한 조합을 탐색하려는 성향을 보인다.</w:t>
      </w:r>
    </w:p>
    <w:p>
      <w:pPr>
        <w:pStyle w:val="BodyText"/>
        <w:spacing w:after="140" w:line="372" w:lineRule="auto"/>
        <w:ind w:firstLine="403"/>
        <w:jc w:val="both"/>
      </w:pPr>
      <w:r>
        <w:rPr>
          <w:rFonts w:ascii="NanumGothic" w:hAnsi="NanumGothic" w:eastAsia="NanumGothic"/>
          <w:b w:val="0"/>
          <w:color w:val="000000"/>
          <w:sz w:val="21"/>
        </w:rPr>
        <w:t>핵심 표적은 신혼가구나 밀레니얼 세대로만 한정하기보다 취향 기반의 주거 선택을 중시하는 소비자로 보는 것이 타당하다. 신혼가구와 젊은 도시 생활자는 대표 장면이지만, 자녀 성장이나 이사에 맞춰 가전을 바꾸는 가족, 기존 공간을 새롭게 꾸미려는 중장년층도 확장 표적이 될 수 있다. 이러한 다층 표적 설정은 브랜드의 시장 규모를 확보하면서도 “나에게 맞는 집”이라는 공통 욕구로 메시지를 통합할 수 있게 한다.</w:t>
      </w:r>
    </w:p>
    <w:p>
      <w:pPr>
        <w:pStyle w:val="Heading2"/>
        <w:spacing w:before="200" w:after="140"/>
        <w:keepNext/>
      </w:pPr>
      <w:r>
        <w:rPr>
          <w:rFonts w:ascii="NanumGothic" w:hAnsi="NanumGothic" w:eastAsia="NanumGothic"/>
          <w:b/>
          <w:color w:val="000000"/>
          <w:sz w:val="24"/>
        </w:rPr>
        <w:t>4.3 제품 포지셔닝과 차별적 가치</w:t>
      </w:r>
    </w:p>
    <w:p>
      <w:pPr>
        <w:pStyle w:val="BodyText"/>
        <w:spacing w:after="140" w:line="372" w:lineRule="auto"/>
        <w:ind w:firstLine="403"/>
        <w:jc w:val="both"/>
      </w:pPr>
      <w:r>
        <w:rPr>
          <w:rFonts w:ascii="NanumGothic" w:hAnsi="NanumGothic" w:eastAsia="NanumGothic"/>
          <w:b w:val="0"/>
          <w:color w:val="000000"/>
          <w:sz w:val="21"/>
        </w:rPr>
        <w:t>비스포크의 핵심 포지셔닝은 가전을 정해진 규격의 내구재가 아니라 생활과 취향에 맞춰 구성하는 공간 솔루션으로 전환한 데 있다. 경쟁 준거는 일반 생활가전이지만 차별점은 개인화, 모듈화, 공간 조화이다. 소비자는 제품의 색상만 고르는 것이 아니라 자신의 생활방식에 맞는 조합을 완성한다는 의미를 얻게 된다. 공식 제품 자료에서도 다양한 색상 선택과 맞춤형 구성이 지속적으로 강조되고 있어 광고 약속과 제품 속성의 연결을 확인할 수 있다(삼성전자, 2020).</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3264"/>
        <w:gridCol w:w="3264"/>
        <w:gridCol w:w="3264"/>
      </w:tblGrid>
      <w:tr>
        <w:trPr>
          <w:tblHeader w:val="true"/>
        </w:trPr>
        <w:tc>
          <w:tcPr>
            <w:tcW w:type="dxa" w:w="1584"/>
            <w:shd w:fill="243B53"/>
            <w:vAlign w:val="center"/>
            <w:tcMar>
              <w:top w:w="100" w:type="dxa"/>
              <w:start w:w="120" w:type="dxa"/>
              <w:bottom w:w="100" w:type="dxa"/>
              <w:end w:w="120" w:type="dxa"/>
            </w:tcMar>
          </w:tcPr>
          <w:p>
            <w:pPr>
              <w:jc w:val="center"/>
            </w:pPr>
            <w:r>
              <w:rPr>
                <w:rFonts w:ascii="NanumGothic" w:hAnsi="NanumGothic" w:eastAsia="NanumGothic"/>
                <w:b/>
                <w:color w:val="FFFFFF"/>
                <w:sz w:val="18"/>
              </w:rPr>
              <w:t>분석 요소</w:t>
            </w:r>
          </w:p>
        </w:tc>
        <w:tc>
          <w:tcPr>
            <w:tcW w:type="dxa" w:w="4032"/>
            <w:shd w:fill="243B53"/>
            <w:vAlign w:val="center"/>
            <w:tcMar>
              <w:top w:w="100" w:type="dxa"/>
              <w:start w:w="120" w:type="dxa"/>
              <w:bottom w:w="100" w:type="dxa"/>
              <w:end w:w="120" w:type="dxa"/>
            </w:tcMar>
          </w:tcPr>
          <w:p>
            <w:pPr>
              <w:jc w:val="center"/>
            </w:pPr>
            <w:r>
              <w:rPr>
                <w:rFonts w:ascii="NanumGothic" w:hAnsi="NanumGothic" w:eastAsia="NanumGothic"/>
                <w:b/>
                <w:color w:val="FFFFFF"/>
                <w:sz w:val="18"/>
              </w:rPr>
              <w:t>비스포크 사례의 내용</w:t>
            </w:r>
          </w:p>
        </w:tc>
        <w:tc>
          <w:tcPr>
            <w:tcW w:type="dxa" w:w="3816"/>
            <w:shd w:fill="243B53"/>
            <w:vAlign w:val="center"/>
            <w:tcMar>
              <w:top w:w="100" w:type="dxa"/>
              <w:start w:w="120" w:type="dxa"/>
              <w:bottom w:w="100" w:type="dxa"/>
              <w:end w:w="120" w:type="dxa"/>
            </w:tcMar>
          </w:tcPr>
          <w:p>
            <w:pPr>
              <w:jc w:val="center"/>
            </w:pPr>
            <w:r>
              <w:rPr>
                <w:rFonts w:ascii="NanumGothic" w:hAnsi="NanumGothic" w:eastAsia="NanumGothic"/>
                <w:b/>
                <w:color w:val="FFFFFF"/>
                <w:sz w:val="18"/>
              </w:rPr>
              <w:t>전략적 의미</w:t>
            </w:r>
          </w:p>
        </w:tc>
      </w:tr>
      <w:tr>
        <w:tc>
          <w:tcPr>
            <w:tcW w:type="dxa" w:w="1584"/>
            <w:vAlign w:val="center"/>
            <w:tcMar>
              <w:top w:w="100" w:type="dxa"/>
              <w:start w:w="120" w:type="dxa"/>
              <w:bottom w:w="100" w:type="dxa"/>
              <w:end w:w="120" w:type="dxa"/>
            </w:tcMar>
          </w:tcPr>
          <w:p>
            <w:pPr>
              <w:spacing w:after="0" w:line="288" w:lineRule="auto"/>
              <w:jc w:val="center"/>
            </w:pPr>
            <w:r>
              <w:rPr>
                <w:rFonts w:ascii="NanumGothic" w:hAnsi="NanumGothic" w:eastAsia="NanumGothic"/>
                <w:b w:val="0"/>
                <w:color w:val="000000"/>
                <w:sz w:val="18"/>
              </w:rPr>
              <w:t>세분화</w:t>
            </w:r>
          </w:p>
        </w:tc>
        <w:tc>
          <w:tcPr>
            <w:tcW w:type="dxa" w:w="4032"/>
            <w:vAlign w:val="center"/>
            <w:tcMar>
              <w:top w:w="100" w:type="dxa"/>
              <w:start w:w="120" w:type="dxa"/>
              <w:bottom w:w="100" w:type="dxa"/>
              <w:end w:w="120" w:type="dxa"/>
            </w:tcMar>
          </w:tcPr>
          <w:p>
            <w:pPr>
              <w:spacing w:after="0" w:line="288" w:lineRule="auto"/>
              <w:jc w:val="left"/>
            </w:pPr>
            <w:r>
              <w:rPr>
                <w:rFonts w:ascii="NanumGothic" w:hAnsi="NanumGothic" w:eastAsia="NanumGothic"/>
                <w:b w:val="0"/>
                <w:color w:val="000000"/>
                <w:sz w:val="18"/>
              </w:rPr>
              <w:t>주거 형태, 가족생애주기, 취향, 인테리어 관여도, 맞춤 편익</w:t>
            </w:r>
          </w:p>
        </w:tc>
        <w:tc>
          <w:tcPr>
            <w:tcW w:type="dxa" w:w="3816"/>
            <w:vAlign w:val="center"/>
            <w:tcMar>
              <w:top w:w="100" w:type="dxa"/>
              <w:start w:w="120" w:type="dxa"/>
              <w:bottom w:w="100" w:type="dxa"/>
              <w:end w:w="120" w:type="dxa"/>
            </w:tcMar>
          </w:tcPr>
          <w:p>
            <w:pPr>
              <w:spacing w:after="0" w:line="288" w:lineRule="auto"/>
              <w:jc w:val="left"/>
            </w:pPr>
            <w:r>
              <w:rPr>
                <w:rFonts w:ascii="NanumGothic" w:hAnsi="NanumGothic" w:eastAsia="NanumGothic"/>
                <w:b w:val="0"/>
                <w:color w:val="000000"/>
                <w:sz w:val="18"/>
              </w:rPr>
              <w:t>연령 중심 분류보다 구매 이유와 사용 맥락을 구체화한다.</w:t>
            </w:r>
          </w:p>
        </w:tc>
      </w:tr>
      <w:tr>
        <w:tc>
          <w:tcPr>
            <w:tcW w:type="dxa" w:w="1584"/>
            <w:vAlign w:val="center"/>
            <w:tcMar>
              <w:top w:w="100" w:type="dxa"/>
              <w:start w:w="120" w:type="dxa"/>
              <w:bottom w:w="100" w:type="dxa"/>
              <w:end w:w="120" w:type="dxa"/>
            </w:tcMar>
            <w:shd w:fill="F3F7FA"/>
          </w:tcPr>
          <w:p>
            <w:pPr>
              <w:spacing w:after="0" w:line="288" w:lineRule="auto"/>
              <w:jc w:val="center"/>
            </w:pPr>
            <w:r>
              <w:rPr>
                <w:rFonts w:ascii="NanumGothic" w:hAnsi="NanumGothic" w:eastAsia="NanumGothic"/>
                <w:b w:val="0"/>
                <w:color w:val="000000"/>
                <w:sz w:val="18"/>
              </w:rPr>
              <w:t>표적시장</w:t>
            </w:r>
          </w:p>
        </w:tc>
        <w:tc>
          <w:tcPr>
            <w:tcW w:type="dxa" w:w="4032"/>
            <w:vAlign w:val="center"/>
            <w:tcMar>
              <w:top w:w="100" w:type="dxa"/>
              <w:start w:w="120" w:type="dxa"/>
              <w:bottom w:w="100" w:type="dxa"/>
              <w:end w:w="120" w:type="dxa"/>
            </w:tcMar>
            <w:shd w:fill="F3F7FA"/>
          </w:tcPr>
          <w:p>
            <w:pPr>
              <w:spacing w:after="0" w:line="288" w:lineRule="auto"/>
              <w:jc w:val="left"/>
            </w:pPr>
            <w:r>
              <w:rPr>
                <w:rFonts w:ascii="NanumGothic" w:hAnsi="NanumGothic" w:eastAsia="NanumGothic"/>
                <w:b w:val="0"/>
                <w:color w:val="000000"/>
                <w:sz w:val="18"/>
              </w:rPr>
              <w:t>자기표현과 공간 조화를 중시하며 조합 탐색에 적극적인 소비자</w:t>
            </w:r>
          </w:p>
        </w:tc>
        <w:tc>
          <w:tcPr>
            <w:tcW w:type="dxa" w:w="3816"/>
            <w:vAlign w:val="center"/>
            <w:tcMar>
              <w:top w:w="100" w:type="dxa"/>
              <w:start w:w="120" w:type="dxa"/>
              <w:bottom w:w="100" w:type="dxa"/>
              <w:end w:w="120" w:type="dxa"/>
            </w:tcMar>
            <w:shd w:fill="F3F7FA"/>
          </w:tcPr>
          <w:p>
            <w:pPr>
              <w:spacing w:after="0" w:line="288" w:lineRule="auto"/>
              <w:jc w:val="left"/>
            </w:pPr>
            <w:r>
              <w:rPr>
                <w:rFonts w:ascii="NanumGothic" w:hAnsi="NanumGothic" w:eastAsia="NanumGothic"/>
                <w:b w:val="0"/>
                <w:color w:val="000000"/>
                <w:sz w:val="18"/>
              </w:rPr>
              <w:t>대표 고객의 공감도를 높이면서 확장 가능한 시장을 확보한다.</w:t>
            </w:r>
          </w:p>
        </w:tc>
      </w:tr>
      <w:tr>
        <w:tc>
          <w:tcPr>
            <w:tcW w:type="dxa" w:w="1584"/>
            <w:vAlign w:val="center"/>
            <w:tcMar>
              <w:top w:w="100" w:type="dxa"/>
              <w:start w:w="120" w:type="dxa"/>
              <w:bottom w:w="100" w:type="dxa"/>
              <w:end w:w="120" w:type="dxa"/>
            </w:tcMar>
          </w:tcPr>
          <w:p>
            <w:pPr>
              <w:spacing w:after="0" w:line="288" w:lineRule="auto"/>
              <w:jc w:val="center"/>
            </w:pPr>
            <w:r>
              <w:rPr>
                <w:rFonts w:ascii="NanumGothic" w:hAnsi="NanumGothic" w:eastAsia="NanumGothic"/>
                <w:b w:val="0"/>
                <w:color w:val="000000"/>
                <w:sz w:val="18"/>
              </w:rPr>
              <w:t>경쟁 준거</w:t>
            </w:r>
          </w:p>
        </w:tc>
        <w:tc>
          <w:tcPr>
            <w:tcW w:type="dxa" w:w="4032"/>
            <w:vAlign w:val="center"/>
            <w:tcMar>
              <w:top w:w="100" w:type="dxa"/>
              <w:start w:w="120" w:type="dxa"/>
              <w:bottom w:w="100" w:type="dxa"/>
              <w:end w:w="120" w:type="dxa"/>
            </w:tcMar>
          </w:tcPr>
          <w:p>
            <w:pPr>
              <w:spacing w:after="0" w:line="288" w:lineRule="auto"/>
              <w:jc w:val="left"/>
            </w:pPr>
            <w:r>
              <w:rPr>
                <w:rFonts w:ascii="NanumGothic" w:hAnsi="NanumGothic" w:eastAsia="NanumGothic"/>
                <w:b w:val="0"/>
                <w:color w:val="000000"/>
                <w:sz w:val="18"/>
              </w:rPr>
              <w:t>프리미엄 생활가전과 주방·주거 인테리어 솔루션</w:t>
            </w:r>
          </w:p>
        </w:tc>
        <w:tc>
          <w:tcPr>
            <w:tcW w:type="dxa" w:w="3816"/>
            <w:vAlign w:val="center"/>
            <w:tcMar>
              <w:top w:w="100" w:type="dxa"/>
              <w:start w:w="120" w:type="dxa"/>
              <w:bottom w:w="100" w:type="dxa"/>
              <w:end w:w="120" w:type="dxa"/>
            </w:tcMar>
          </w:tcPr>
          <w:p>
            <w:pPr>
              <w:spacing w:after="0" w:line="288" w:lineRule="auto"/>
              <w:jc w:val="left"/>
            </w:pPr>
            <w:r>
              <w:rPr>
                <w:rFonts w:ascii="NanumGothic" w:hAnsi="NanumGothic" w:eastAsia="NanumGothic"/>
                <w:b w:val="0"/>
                <w:color w:val="000000"/>
                <w:sz w:val="18"/>
              </w:rPr>
              <w:t>기능 경쟁을 넘어 공간 경험 경쟁으로 범주를 넓힌다.</w:t>
            </w:r>
          </w:p>
        </w:tc>
      </w:tr>
      <w:tr>
        <w:tc>
          <w:tcPr>
            <w:tcW w:type="dxa" w:w="1584"/>
            <w:vAlign w:val="center"/>
            <w:tcMar>
              <w:top w:w="100" w:type="dxa"/>
              <w:start w:w="120" w:type="dxa"/>
              <w:bottom w:w="100" w:type="dxa"/>
              <w:end w:w="120" w:type="dxa"/>
            </w:tcMar>
            <w:shd w:fill="F3F7FA"/>
          </w:tcPr>
          <w:p>
            <w:pPr>
              <w:spacing w:after="0" w:line="288" w:lineRule="auto"/>
              <w:jc w:val="center"/>
            </w:pPr>
            <w:r>
              <w:rPr>
                <w:rFonts w:ascii="NanumGothic" w:hAnsi="NanumGothic" w:eastAsia="NanumGothic"/>
                <w:b w:val="0"/>
                <w:color w:val="000000"/>
                <w:sz w:val="18"/>
              </w:rPr>
              <w:t>차별점</w:t>
            </w:r>
          </w:p>
        </w:tc>
        <w:tc>
          <w:tcPr>
            <w:tcW w:type="dxa" w:w="4032"/>
            <w:vAlign w:val="center"/>
            <w:tcMar>
              <w:top w:w="100" w:type="dxa"/>
              <w:start w:w="120" w:type="dxa"/>
              <w:bottom w:w="100" w:type="dxa"/>
              <w:end w:w="120" w:type="dxa"/>
            </w:tcMar>
            <w:shd w:fill="F3F7FA"/>
          </w:tcPr>
          <w:p>
            <w:pPr>
              <w:spacing w:after="0" w:line="288" w:lineRule="auto"/>
              <w:jc w:val="left"/>
            </w:pPr>
            <w:r>
              <w:rPr>
                <w:rFonts w:ascii="NanumGothic" w:hAnsi="NanumGothic" w:eastAsia="NanumGothic"/>
                <w:b w:val="0"/>
                <w:color w:val="000000"/>
                <w:sz w:val="18"/>
              </w:rPr>
              <w:t>색상·소재·모듈 조합, 제품군 확장, 개인화된 공간 연출</w:t>
            </w:r>
          </w:p>
        </w:tc>
        <w:tc>
          <w:tcPr>
            <w:tcW w:type="dxa" w:w="3816"/>
            <w:vAlign w:val="center"/>
            <w:tcMar>
              <w:top w:w="100" w:type="dxa"/>
              <w:start w:w="120" w:type="dxa"/>
              <w:bottom w:w="100" w:type="dxa"/>
              <w:end w:w="120" w:type="dxa"/>
            </w:tcMar>
            <w:shd w:fill="F3F7FA"/>
          </w:tcPr>
          <w:p>
            <w:pPr>
              <w:spacing w:after="0" w:line="288" w:lineRule="auto"/>
              <w:jc w:val="left"/>
            </w:pPr>
            <w:r>
              <w:rPr>
                <w:rFonts w:ascii="NanumGothic" w:hAnsi="NanumGothic" w:eastAsia="NanumGothic"/>
                <w:b w:val="0"/>
                <w:color w:val="000000"/>
                <w:sz w:val="18"/>
              </w:rPr>
              <w:t>맞춤형이라는 추상적 약속을 실제 선택 구조로 증명한다.</w:t>
            </w:r>
          </w:p>
        </w:tc>
      </w:tr>
      <w:tr>
        <w:tc>
          <w:tcPr>
            <w:tcW w:type="dxa" w:w="1584"/>
            <w:vAlign w:val="center"/>
            <w:tcMar>
              <w:top w:w="100" w:type="dxa"/>
              <w:start w:w="120" w:type="dxa"/>
              <w:bottom w:w="100" w:type="dxa"/>
              <w:end w:w="120" w:type="dxa"/>
            </w:tcMar>
          </w:tcPr>
          <w:p>
            <w:pPr>
              <w:spacing w:after="0" w:line="288" w:lineRule="auto"/>
              <w:jc w:val="center"/>
            </w:pPr>
            <w:r>
              <w:rPr>
                <w:rFonts w:ascii="NanumGothic" w:hAnsi="NanumGothic" w:eastAsia="NanumGothic"/>
                <w:b w:val="0"/>
                <w:color w:val="000000"/>
                <w:sz w:val="18"/>
              </w:rPr>
              <w:t>핵심 메시지</w:t>
            </w:r>
          </w:p>
        </w:tc>
        <w:tc>
          <w:tcPr>
            <w:tcW w:type="dxa" w:w="4032"/>
            <w:vAlign w:val="center"/>
            <w:tcMar>
              <w:top w:w="100" w:type="dxa"/>
              <w:start w:w="120" w:type="dxa"/>
              <w:bottom w:w="100" w:type="dxa"/>
              <w:end w:w="120" w:type="dxa"/>
            </w:tcMar>
          </w:tcPr>
          <w:p>
            <w:pPr>
              <w:spacing w:after="0" w:line="288" w:lineRule="auto"/>
              <w:jc w:val="left"/>
            </w:pPr>
            <w:r>
              <w:rPr>
                <w:rFonts w:ascii="NanumGothic" w:hAnsi="NanumGothic" w:eastAsia="NanumGothic"/>
                <w:b w:val="0"/>
                <w:color w:val="000000"/>
                <w:sz w:val="18"/>
              </w:rPr>
              <w:t>가전이 집과 나의 취향에 맞춰진다는 가치</w:t>
            </w:r>
          </w:p>
        </w:tc>
        <w:tc>
          <w:tcPr>
            <w:tcW w:type="dxa" w:w="3816"/>
            <w:vAlign w:val="center"/>
            <w:tcMar>
              <w:top w:w="100" w:type="dxa"/>
              <w:start w:w="120" w:type="dxa"/>
              <w:bottom w:w="100" w:type="dxa"/>
              <w:end w:w="120" w:type="dxa"/>
            </w:tcMar>
          </w:tcPr>
          <w:p>
            <w:pPr>
              <w:spacing w:after="0" w:line="288" w:lineRule="auto"/>
              <w:jc w:val="left"/>
            </w:pPr>
            <w:r>
              <w:rPr>
                <w:rFonts w:ascii="NanumGothic" w:hAnsi="NanumGothic" w:eastAsia="NanumGothic"/>
                <w:b w:val="0"/>
                <w:color w:val="000000"/>
                <w:sz w:val="18"/>
              </w:rPr>
              <w:t>기능 목록보다 정체성과 생활 변화의 편익을 전달한다.</w:t>
            </w:r>
          </w:p>
        </w:tc>
      </w:tr>
    </w:tbl>
    <w:p>
      <w:pPr>
        <w:spacing w:after="20"/>
      </w:pPr>
    </w:p>
    <w:p>
      <w:pPr>
        <w:pStyle w:val="Heading2"/>
        <w:spacing w:before="200" w:after="140"/>
        <w:keepNext/>
      </w:pPr>
      <w:r>
        <w:rPr>
          <w:rFonts w:ascii="NanumGothic" w:hAnsi="NanumGothic" w:eastAsia="NanumGothic"/>
          <w:b/>
          <w:color w:val="000000"/>
          <w:sz w:val="24"/>
        </w:rPr>
        <w:t>4.4 광고표현과 메시지 분석</w:t>
      </w:r>
    </w:p>
    <w:p>
      <w:pPr>
        <w:pStyle w:val="BodyText"/>
        <w:spacing w:after="140" w:line="372" w:lineRule="auto"/>
        <w:ind w:firstLine="403"/>
        <w:jc w:val="both"/>
      </w:pPr>
      <w:r>
        <w:rPr>
          <w:rFonts w:ascii="NanumGothic" w:hAnsi="NanumGothic" w:eastAsia="NanumGothic"/>
          <w:b w:val="0"/>
          <w:color w:val="000000"/>
          <w:sz w:val="21"/>
        </w:rPr>
        <w:t>COME BESPOKE HOME이라는 캠페인 명은 익숙한 대중문화 자산인 ‘컴백홈’을 브랜드 언어로 변환하면서 집으로 돌아오는 행동과 비스포크가 완성하는 공간을 연결한다. 광고는 단일 제품의 세부 기능을 길게 설명하기보다 집 안 여러 공간과 가전을 보여주며 브랜드의 적용 범위를 직관적으로 확장한다. 이는 냉장고 브랜드라는 초기 인식을 생활가전 통합 브랜드로 재구성하는 재포지셔닝 기능을 수행한다.</w:t>
      </w:r>
    </w:p>
    <w:p>
      <w:pPr>
        <w:pStyle w:val="BodyText"/>
        <w:spacing w:after="140" w:line="372" w:lineRule="auto"/>
        <w:ind w:firstLine="403"/>
        <w:jc w:val="both"/>
      </w:pPr>
      <w:r>
        <w:rPr>
          <w:rFonts w:ascii="NanumGothic" w:hAnsi="NanumGothic" w:eastAsia="NanumGothic"/>
          <w:b w:val="0"/>
          <w:color w:val="000000"/>
          <w:sz w:val="21"/>
        </w:rPr>
        <w:t>표현전략은 기능적 소구와 정서적 소구 가운데 후자에 더 무게를 둔다. 광고에서 집은 획일적인 배경이 아니라 거주자의 취향이 드러나는 무대로 제시된다. 다양한 제품과 색채, 리듬감 있는 음악은 “가전을 고르는 일은 나다운 공간을 만드는 일”이라는 연상을 강화한다. 동시에 실제 제품군을 노출함으로써 감성 메시지가 막연한 이미지에 머물지 않도록 기능적 근거를 보완한다.</w:t>
      </w:r>
    </w:p>
    <w:p>
      <w:pPr>
        <w:pStyle w:val="BodyText"/>
        <w:spacing w:after="140" w:line="372" w:lineRule="auto"/>
        <w:ind w:firstLine="403"/>
        <w:jc w:val="both"/>
      </w:pPr>
      <w:r>
        <w:rPr>
          <w:rFonts w:ascii="NanumGothic" w:hAnsi="NanumGothic" w:eastAsia="NanumGothic"/>
          <w:b w:val="0"/>
          <w:color w:val="000000"/>
          <w:sz w:val="21"/>
        </w:rPr>
        <w:t>매체 측면에서는 긴 형식의 영상이 온라인에서 확산되기 적합했고, 유명 음악과 문화적 기억이 자발적 시청과 공유를 촉진했다. 제일기획은 캠페인 영상이 공개 이후 1천만 조회를 돌파했다고 밝혔다. 조회 수만으로 구매 효과를 단정할 수는 없지만, 브랜드 확장 메시지가 소비자의 주의를 끌고 디지털 환경에서 반복 노출되는 데 기여한 지표로 해석할 수 있다(제일기획, 2021).</w:t>
      </w:r>
    </w:p>
    <w:p>
      <w:pPr>
        <w:pStyle w:val="Heading2"/>
        <w:spacing w:before="200" w:after="140"/>
        <w:keepNext/>
      </w:pPr>
      <w:r>
        <w:rPr>
          <w:rFonts w:ascii="NanumGothic" w:hAnsi="NanumGothic" w:eastAsia="NanumGothic"/>
          <w:b/>
          <w:color w:val="000000"/>
          <w:sz w:val="24"/>
        </w:rPr>
        <w:t>4.5 전략의 강점</w:t>
      </w:r>
    </w:p>
    <w:p>
      <w:pPr>
        <w:pStyle w:val="ListBullet"/>
        <w:spacing w:after="80" w:line="324" w:lineRule="auto"/>
        <w:ind w:left="360" w:hanging="259"/>
      </w:pPr>
      <w:r>
        <w:rPr>
          <w:rFonts w:ascii="NanumGothic" w:hAnsi="NanumGothic" w:eastAsia="NanumGothic"/>
          <w:b w:val="0"/>
          <w:color w:val="000000"/>
          <w:sz w:val="20"/>
        </w:rPr>
        <w:t>세분화와 제품 설계의 일치: 취향과 주거 맥락의 차이를 실제 색상·소재·모듈 선택으로 연결하였다.</w:t>
      </w:r>
    </w:p>
    <w:p>
      <w:pPr>
        <w:pStyle w:val="ListBullet"/>
        <w:spacing w:after="80" w:line="324" w:lineRule="auto"/>
        <w:ind w:left="360" w:hanging="259"/>
      </w:pPr>
      <w:r>
        <w:rPr>
          <w:rFonts w:ascii="NanumGothic" w:hAnsi="NanumGothic" w:eastAsia="NanumGothic"/>
          <w:b w:val="0"/>
          <w:color w:val="000000"/>
          <w:sz w:val="20"/>
        </w:rPr>
        <w:t>기억 가능한 포지셔닝: 맞춤형 가전이라는 짧고 명확한 개념이 경쟁 제품과의 차이를 설명한다.</w:t>
      </w:r>
    </w:p>
    <w:p>
      <w:pPr>
        <w:pStyle w:val="ListBullet"/>
        <w:spacing w:after="80" w:line="324" w:lineRule="auto"/>
        <w:ind w:left="360" w:hanging="259"/>
      </w:pPr>
      <w:r>
        <w:rPr>
          <w:rFonts w:ascii="NanumGothic" w:hAnsi="NanumGothic" w:eastAsia="NanumGothic"/>
          <w:b w:val="0"/>
          <w:color w:val="000000"/>
          <w:sz w:val="20"/>
        </w:rPr>
        <w:t>브랜드 확장성: 냉장고의 개인화 경험을 집 전체의 생활가전으로 확장할 수 있는 상위 개념을 구축하였다.</w:t>
      </w:r>
    </w:p>
    <w:p>
      <w:pPr>
        <w:pStyle w:val="ListBullet"/>
        <w:spacing w:after="80" w:line="324" w:lineRule="auto"/>
        <w:ind w:left="360" w:hanging="259"/>
      </w:pPr>
      <w:r>
        <w:rPr>
          <w:rFonts w:ascii="NanumGothic" w:hAnsi="NanumGothic" w:eastAsia="NanumGothic"/>
          <w:b w:val="0"/>
          <w:color w:val="000000"/>
          <w:sz w:val="20"/>
        </w:rPr>
        <w:t>감성·기능의 결합: 자기표현의 정서적 편익과 실제 조합 가능성이라는 기능적 근거를 동시에 제시하였다.</w:t>
      </w:r>
    </w:p>
    <w:p>
      <w:pPr>
        <w:pStyle w:val="Heading2"/>
        <w:spacing w:before="200" w:after="140"/>
        <w:keepNext/>
      </w:pPr>
      <w:r>
        <w:rPr>
          <w:rFonts w:ascii="NanumGothic" w:hAnsi="NanumGothic" w:eastAsia="NanumGothic"/>
          <w:b/>
          <w:color w:val="000000"/>
          <w:sz w:val="24"/>
        </w:rPr>
        <w:t>4.6 한계와 개선 방향</w:t>
      </w:r>
    </w:p>
    <w:p>
      <w:pPr>
        <w:pStyle w:val="BodyText"/>
        <w:spacing w:after="140" w:line="372" w:lineRule="auto"/>
        <w:ind w:firstLine="403"/>
        <w:jc w:val="both"/>
      </w:pPr>
      <w:r>
        <w:rPr>
          <w:rFonts w:ascii="NanumGothic" w:hAnsi="NanumGothic" w:eastAsia="NanumGothic"/>
          <w:b w:val="0"/>
          <w:color w:val="000000"/>
          <w:sz w:val="21"/>
        </w:rPr>
        <w:t>첫째, 맞춤형 포지셔닝은 선택의 즐거움을 주지만 옵션이 많아질수록 소비자의 판단 부담이 커질 수 있다. 광고 이후 온라인 구성 도구와 매장 상담에서 대표 생활유형별 추천 조합을 제공할 필요가 있다. 둘째, 디자인 중심 이미지가 강하면 에너지 효율, 내구성, 관리 편의 등 기본 품질을 중시하는 집단에게 설득력이 약할 수 있다. 세분시장별 후속 광고에서는 동일한 핵심 포지셔닝을 유지하면서 기능 증거의 비중을 달리해야 한다.</w:t>
      </w:r>
    </w:p>
    <w:p>
      <w:pPr>
        <w:pStyle w:val="BodyText"/>
        <w:spacing w:after="140" w:line="372" w:lineRule="auto"/>
        <w:ind w:firstLine="403"/>
        <w:jc w:val="both"/>
      </w:pPr>
      <w:r>
        <w:rPr>
          <w:rFonts w:ascii="NanumGothic" w:hAnsi="NanumGothic" w:eastAsia="NanumGothic"/>
          <w:b w:val="0"/>
          <w:color w:val="000000"/>
          <w:sz w:val="21"/>
        </w:rPr>
        <w:t>셋째, 개인화는 고가라는 인식으로 연결될 가능성이 있다. 단순 가격 할인보다 교체 가능한 패널, 필요에 따른 모듈 확장, 장기 사용가치를 설명하면 총소유비용 관점의 설득이 가능하다. 넷째, 환경적 책임을 중시하는 세분시장이 커지는 만큼 개인화가 잦은 교체 소비를 부추기지 않는다는 근거도 필요하다. 부품 교체, 수리 가능성, 에너지 사용, 제품 수명과 관련된 정보를 광고와 구매 접점에서 투명하게 제공하면 맞춤성과 지속가능성을 함께 강화할 수 있다.</w:t>
      </w:r>
    </w:p>
    <w:p>
      <w:pPr>
        <w:pStyle w:val="Heading1"/>
        <w:spacing w:before="260" w:after="140"/>
        <w:keepNext/>
      </w:pPr>
      <w:r>
        <w:rPr>
          <w:rFonts w:ascii="NanumGothic" w:hAnsi="NanumGothic" w:eastAsia="NanumGothic"/>
          <w:b/>
          <w:color w:val="000000"/>
          <w:sz w:val="30"/>
        </w:rPr>
        <w:t>5. 결론</w:t>
      </w:r>
    </w:p>
    <w:p>
      <w:pPr>
        <w:pStyle w:val="BodyText"/>
        <w:spacing w:after="140" w:line="372" w:lineRule="auto"/>
        <w:ind w:firstLine="403"/>
        <w:jc w:val="both"/>
      </w:pPr>
      <w:r>
        <w:rPr>
          <w:rFonts w:ascii="NanumGothic" w:hAnsi="NanumGothic" w:eastAsia="NanumGothic"/>
          <w:b w:val="0"/>
          <w:color w:val="000000"/>
          <w:sz w:val="21"/>
        </w:rPr>
        <w:t>시장세분화에 따른 제품 포지셔닝 전략의 핵심은 고객을 여러 집단으로 나누는 데 그치지 않고, 선택한 집단의 중요한 욕구를 경쟁사와 다른 가치로 구체화하는 데 있다. 지리적·인구통계적 기준은 시장의 외형을 보여주고, 심리적·행동적 기준은 소비자가 왜 구매하는지를 설명한다. 기업은 이 정보를 바탕으로 표적시장을 선택하고 경쟁 준거, 차별점, 신뢰 근거를 정한 후 광고 메시지와 매체를 일관되게 설계해야 한다.</w:t>
      </w:r>
    </w:p>
    <w:p>
      <w:pPr>
        <w:pStyle w:val="BodyText"/>
        <w:spacing w:after="140" w:line="372" w:lineRule="auto"/>
        <w:ind w:firstLine="403"/>
        <w:jc w:val="both"/>
      </w:pPr>
      <w:r>
        <w:rPr>
          <w:rFonts w:ascii="NanumGothic" w:hAnsi="NanumGothic" w:eastAsia="NanumGothic"/>
          <w:b w:val="0"/>
          <w:color w:val="000000"/>
          <w:sz w:val="21"/>
        </w:rPr>
        <w:t>비스포크 광고는 생활가전을 기능과 용량으로만 비교하던 관행에서 벗어나 취향과 공간의 관점으로 경쟁 기준을 이동시켰다. 생활양식과 추구 편익을 중심으로 시장을 바라보고, 맞춤형 가전이라는 포지셔닝을 제품의 색상·소재·모듈 선택과 광고의 공간 이미지로 뒷받침하였다. COME BESPOKE HOME 캠페인은 냉장고에서 집 전체로 브랜드 의미를 확장하면서도 개인화라는 중심 연상을 유지했다는 점에서 전략적 일관성이 높다.</w:t>
      </w:r>
    </w:p>
    <w:p>
      <w:pPr>
        <w:pStyle w:val="BodyText"/>
        <w:spacing w:after="140" w:line="372" w:lineRule="auto"/>
        <w:ind w:firstLine="403"/>
        <w:jc w:val="both"/>
      </w:pPr>
      <w:r>
        <w:rPr>
          <w:rFonts w:ascii="NanumGothic" w:hAnsi="NanumGothic" w:eastAsia="NanumGothic"/>
          <w:b w:val="0"/>
          <w:color w:val="000000"/>
          <w:sz w:val="21"/>
        </w:rPr>
        <w:t>학습자의 관점에서 가장 중요한 시사점은 광고가 제품에 새로운 이미지를 덧붙이는 마지막 단계가 아니라는 점이다. 광고가 설득력을 가지려면 세분시장에 대한 이해가 실제 제품 경험 속에 구현되어야 한다. 소비자가 광고를 보고 기대한 맞춤성이 구매 과정에서 복잡함이나 과도한 가격으로 느껴진다면 포지셔닝은 약해진다. 앞으로의 광고전략은 조회 수와 화제성뿐 아니라 핵심 표적의 인식 변화, 구성 체험, 구매 전환, 장기 만족도를 함께 측정해야 한다. 또한 개인화와 지속가능성, 선택의 다양성과 의사결정 편의 사이의 균형을 설계할 때 포지셔닝이 장기적인 브랜드 자산으로 이어질 수 있다고 판단한다.</w:t>
      </w:r>
    </w:p>
    <w:p>
      <w:pPr>
        <w:pStyle w:val="Heading1"/>
        <w:spacing w:before="260" w:after="140"/>
        <w:keepNext/>
      </w:pPr>
      <w:r>
        <w:rPr>
          <w:rFonts w:ascii="NanumGothic" w:hAnsi="NanumGothic" w:eastAsia="NanumGothic"/>
          <w:b/>
          <w:color w:val="000000"/>
          <w:sz w:val="30"/>
        </w:rPr>
        <w:t>참고문헌</w:t>
      </w:r>
    </w:p>
    <w:p>
      <w:pPr>
        <w:spacing w:after="120" w:line="300" w:lineRule="auto"/>
        <w:ind w:left="360" w:hanging="360"/>
      </w:pPr>
      <w:r>
        <w:rPr>
          <w:rFonts w:ascii="NanumGothic" w:hAnsi="NanumGothic" w:eastAsia="NanumGothic"/>
          <w:b w:val="0"/>
          <w:color w:val="000000"/>
          <w:sz w:val="19"/>
        </w:rPr>
        <w:t>김성영·라선아. (2020). 광고론. 한국방송통신대학교출판문화원.</w:t>
      </w:r>
    </w:p>
    <w:p>
      <w:pPr>
        <w:spacing w:after="120" w:line="300" w:lineRule="auto"/>
        <w:ind w:left="360" w:hanging="360"/>
      </w:pPr>
      <w:r>
        <w:rPr>
          <w:rFonts w:ascii="NanumGothic" w:hAnsi="NanumGothic" w:eastAsia="NanumGothic"/>
          <w:b w:val="0"/>
          <w:color w:val="000000"/>
          <w:sz w:val="19"/>
        </w:rPr>
        <w:t>안광호·하영원·박흥수. (2018). 마케팅원론. 학현사.</w:t>
      </w:r>
    </w:p>
    <w:p>
      <w:pPr>
        <w:spacing w:after="120" w:line="300" w:lineRule="auto"/>
        <w:ind w:left="360" w:hanging="360"/>
      </w:pPr>
      <w:r>
        <w:rPr>
          <w:rFonts w:ascii="NanumGothic" w:hAnsi="NanumGothic" w:eastAsia="NanumGothic"/>
          <w:b w:val="0"/>
          <w:color w:val="000000"/>
          <w:sz w:val="19"/>
        </w:rPr>
        <w:t>Kotler, P., &amp; Keller, K. L. (2016). Marketing management (15th ed.). Pearson.</w:t>
      </w:r>
    </w:p>
    <w:p>
      <w:pPr>
        <w:spacing w:after="120" w:line="300" w:lineRule="auto"/>
        <w:ind w:left="360" w:hanging="360"/>
      </w:pPr>
      <w:r>
        <w:rPr>
          <w:rFonts w:ascii="NanumGothic" w:hAnsi="NanumGothic" w:eastAsia="NanumGothic"/>
          <w:b w:val="0"/>
          <w:color w:val="000000"/>
          <w:sz w:val="19"/>
        </w:rPr>
        <w:t>Ries, A., &amp; Trout, J. (2001). Positioning: The battle for your mind. McGraw-Hill.</w:t>
      </w:r>
    </w:p>
    <w:p>
      <w:pPr>
        <w:spacing w:after="120" w:line="300" w:lineRule="auto"/>
        <w:ind w:left="360" w:hanging="360"/>
      </w:pPr>
      <w:r>
        <w:rPr>
          <w:rFonts w:ascii="NanumGothic" w:hAnsi="NanumGothic" w:eastAsia="NanumGothic"/>
          <w:b w:val="0"/>
          <w:color w:val="000000"/>
          <w:sz w:val="19"/>
        </w:rPr>
        <w:t>삼성전자. (2020. 4. 9.). 더 새로워진 비스포크 냉장고 선보여. 삼성전자 뉴스룸. https://news.samsung.com/kr/</w:t>
      </w:r>
    </w:p>
    <w:p>
      <w:pPr>
        <w:spacing w:after="120" w:line="300" w:lineRule="auto"/>
        <w:ind w:left="360" w:hanging="360"/>
      </w:pPr>
      <w:r>
        <w:rPr>
          <w:rFonts w:ascii="NanumGothic" w:hAnsi="NanumGothic" w:eastAsia="NanumGothic"/>
          <w:b w:val="0"/>
          <w:color w:val="000000"/>
          <w:sz w:val="19"/>
        </w:rPr>
        <w:t>제일기획. (2021. 6. 7.). 삼성전자와 서태지가 만난 비스포크 광고 1000만 뷰 돌파. 제일매거진. https://magazine.cheil.com/</w:t>
      </w:r>
    </w:p>
    <w:p>
      <w:r>
        <w:br w:type="page"/>
      </w:r>
    </w:p>
    <w:p>
      <w:pPr>
        <w:spacing w:before="1100" w:after="440"/>
        <w:jc w:val="center"/>
      </w:pPr>
      <w:r>
        <w:rPr>
          <w:rFonts w:ascii="NanumGothic" w:hAnsi="NanumGothic" w:eastAsia="NanumGothic"/>
          <w:b/>
          <w:color w:val="000000"/>
          <w:sz w:val="42"/>
        </w:rPr>
        <w:t>과제 참고용 샘플 안내</w:t>
      </w:r>
    </w:p>
    <w:p>
      <w:pPr>
        <w:spacing w:before="200" w:after="180"/>
      </w:pPr>
      <w:r>
        <w:rPr>
          <w:rFonts w:ascii="NanumGothic" w:hAnsi="NanumGothic" w:eastAsia="NanumGothic"/>
          <w:b/>
          <w:color w:val="000000"/>
          <w:sz w:val="30"/>
        </w:rPr>
        <w:t>주의사항</w:t>
      </w:r>
    </w:p>
    <w:p>
      <w:pPr>
        <w:pStyle w:val="BodyText"/>
        <w:spacing w:after="140" w:line="372" w:lineRule="auto"/>
        <w:jc w:val="left"/>
      </w:pPr>
      <w:r>
        <w:rPr>
          <w:rFonts w:ascii="NanumGothic" w:hAnsi="NanumGothic" w:eastAsia="NanumGothic"/>
          <w:b w:val="0"/>
          <w:color w:val="000000"/>
          <w:sz w:val="21"/>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Pr>
        <w:spacing w:before="440" w:after="180"/>
      </w:pPr>
      <w:r>
        <w:rPr>
          <w:rFonts w:ascii="NanumGothic" w:hAnsi="NanumGothic" w:eastAsia="NanumGothic"/>
          <w:b/>
          <w:color w:val="000000"/>
          <w:sz w:val="30"/>
        </w:rPr>
        <w:t>과제 수정이 어려우신가요?</w:t>
      </w:r>
    </w:p>
    <w:p>
      <w:pPr>
        <w:pStyle w:val="BodyText"/>
        <w:spacing w:after="140" w:line="372" w:lineRule="auto"/>
        <w:jc w:val="left"/>
      </w:pPr>
      <w:r>
        <w:rPr>
          <w:rFonts w:ascii="NanumGothic" w:hAnsi="NanumGothic" w:eastAsia="NanumGothic"/>
          <w:b w:val="0"/>
          <w:color w:val="000000"/>
          <w:sz w:val="21"/>
        </w:rPr>
        <w:t>국민원격교육관리센터에서 1:1 과제 수정 도움을 드립니다.</w:t>
        <w:br/>
        <w:t>아래 연락처로 문의해 주세요.</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4896"/>
        <w:gridCol w:w="4896"/>
      </w:tblGrid>
      <w:tr>
        <w:tc>
          <w:tcPr>
            <w:tcW w:type="dxa" w:w="1944"/>
            <w:shd w:fill="E8EEF3"/>
            <w:tcMar>
              <w:top w:w="150" w:type="dxa"/>
              <w:start w:w="170" w:type="dxa"/>
              <w:bottom w:w="150" w:type="dxa"/>
              <w:end w:w="170" w:type="dxa"/>
            </w:tcMar>
            <w:vAlign w:val="center"/>
          </w:tcPr>
          <w:p>
            <w:pPr>
              <w:jc w:val="center"/>
            </w:pPr>
            <w:r>
              <w:rPr>
                <w:rFonts w:ascii="NanumGothic" w:hAnsi="NanumGothic" w:eastAsia="NanumGothic"/>
                <w:b/>
                <w:color w:val="000000"/>
                <w:sz w:val="21"/>
              </w:rPr>
              <w:t>전화</w:t>
            </w:r>
          </w:p>
        </w:tc>
        <w:tc>
          <w:tcPr>
            <w:tcW w:type="dxa" w:w="6768"/>
            <w:tcMar>
              <w:top w:w="150" w:type="dxa"/>
              <w:start w:w="170" w:type="dxa"/>
              <w:bottom w:w="150" w:type="dxa"/>
              <w:end w:w="170" w:type="dxa"/>
            </w:tcMar>
            <w:vAlign w:val="center"/>
          </w:tcPr>
          <w:p>
            <w:r>
              <w:rPr>
                <w:rFonts w:ascii="NanumGothic" w:hAnsi="NanumGothic" w:eastAsia="NanumGothic"/>
                <w:b w:val="0"/>
                <w:color w:val="000000"/>
                <w:sz w:val="21"/>
              </w:rPr>
              <w:t>050-7878-7044</w:t>
            </w:r>
          </w:p>
        </w:tc>
      </w:tr>
      <w:tr>
        <w:tc>
          <w:tcPr>
            <w:tcW w:type="dxa" w:w="1944"/>
            <w:shd w:fill="E8EEF3"/>
            <w:tcMar>
              <w:top w:w="150" w:type="dxa"/>
              <w:start w:w="170" w:type="dxa"/>
              <w:bottom w:w="150" w:type="dxa"/>
              <w:end w:w="170" w:type="dxa"/>
            </w:tcMar>
            <w:vAlign w:val="center"/>
          </w:tcPr>
          <w:p>
            <w:pPr>
              <w:jc w:val="center"/>
            </w:pPr>
            <w:r>
              <w:rPr>
                <w:rFonts w:ascii="NanumGothic" w:hAnsi="NanumGothic" w:eastAsia="NanumGothic"/>
                <w:b/>
                <w:color w:val="000000"/>
                <w:sz w:val="21"/>
              </w:rPr>
              <w:t>카카오톡</w:t>
            </w:r>
          </w:p>
        </w:tc>
        <w:tc>
          <w:tcPr>
            <w:tcW w:type="dxa" w:w="6768"/>
            <w:tcMar>
              <w:top w:w="150" w:type="dxa"/>
              <w:start w:w="170" w:type="dxa"/>
              <w:bottom w:w="150" w:type="dxa"/>
              <w:end w:w="170" w:type="dxa"/>
            </w:tcMar>
            <w:vAlign w:val="center"/>
          </w:tcPr>
          <w:p>
            <w:r>
              <w:rPr>
                <w:rFonts w:ascii="NanumGothic" w:hAnsi="NanumGothic" w:eastAsia="NanumGothic"/>
                <w:b w:val="0"/>
                <w:color w:val="000000"/>
                <w:sz w:val="21"/>
              </w:rPr>
              <w:t>@국민원격교육관리센터</w:t>
            </w:r>
          </w:p>
        </w:tc>
      </w:tr>
      <w:tr>
        <w:tc>
          <w:tcPr>
            <w:tcW w:type="dxa" w:w="1944"/>
            <w:shd w:fill="E8EEF3"/>
            <w:tcMar>
              <w:top w:w="150" w:type="dxa"/>
              <w:start w:w="170" w:type="dxa"/>
              <w:bottom w:w="150" w:type="dxa"/>
              <w:end w:w="170" w:type="dxa"/>
            </w:tcMar>
            <w:vAlign w:val="center"/>
          </w:tcPr>
          <w:p>
            <w:pPr>
              <w:jc w:val="center"/>
            </w:pPr>
            <w:r>
              <w:rPr>
                <w:rFonts w:ascii="NanumGothic" w:hAnsi="NanumGothic" w:eastAsia="NanumGothic"/>
                <w:b/>
                <w:color w:val="000000"/>
                <w:sz w:val="21"/>
              </w:rPr>
              <w:t>운영시간</w:t>
            </w:r>
          </w:p>
        </w:tc>
        <w:tc>
          <w:tcPr>
            <w:tcW w:type="dxa" w:w="6768"/>
            <w:tcMar>
              <w:top w:w="150" w:type="dxa"/>
              <w:start w:w="170" w:type="dxa"/>
              <w:bottom w:w="150" w:type="dxa"/>
              <w:end w:w="170" w:type="dxa"/>
            </w:tcMar>
            <w:vAlign w:val="center"/>
          </w:tcPr>
          <w:p>
            <w:r>
              <w:rPr>
                <w:rFonts w:ascii="NanumGothic" w:hAnsi="NanumGothic" w:eastAsia="NanumGothic"/>
                <w:b w:val="0"/>
                <w:color w:val="000000"/>
                <w:sz w:val="21"/>
              </w:rPr>
              <w:t>평일 10:00-19:00</w:t>
            </w:r>
          </w:p>
        </w:tc>
      </w:tr>
      <w:tr>
        <w:tc>
          <w:tcPr>
            <w:tcW w:type="dxa" w:w="1944"/>
            <w:shd w:fill="E8EEF3"/>
            <w:tcMar>
              <w:top w:w="150" w:type="dxa"/>
              <w:start w:w="170" w:type="dxa"/>
              <w:bottom w:w="150" w:type="dxa"/>
              <w:end w:w="170" w:type="dxa"/>
            </w:tcMar>
            <w:vAlign w:val="center"/>
          </w:tcPr>
          <w:p>
            <w:pPr>
              <w:jc w:val="center"/>
            </w:pPr>
            <w:r>
              <w:rPr>
                <w:rFonts w:ascii="NanumGothic" w:hAnsi="NanumGothic" w:eastAsia="NanumGothic"/>
                <w:b/>
                <w:color w:val="000000"/>
                <w:sz w:val="21"/>
              </w:rPr>
              <w:t>웹사이트</w:t>
            </w:r>
          </w:p>
        </w:tc>
        <w:tc>
          <w:tcPr>
            <w:tcW w:type="dxa" w:w="6768"/>
            <w:tcMar>
              <w:top w:w="150" w:type="dxa"/>
              <w:start w:w="170" w:type="dxa"/>
              <w:bottom w:w="150" w:type="dxa"/>
              <w:end w:w="170" w:type="dxa"/>
            </w:tcMar>
            <w:vAlign w:val="center"/>
          </w:tcPr>
          <w:p>
            <w:r>
              <w:rPr>
                <w:rFonts w:ascii="NanumGothic" w:hAnsi="NanumGothic" w:eastAsia="NanumGothic"/>
                <w:b w:val="0"/>
                <w:color w:val="000000"/>
                <w:sz w:val="21"/>
              </w:rPr>
              <w:t>korealms.co.kr</w:t>
            </w:r>
          </w:p>
        </w:tc>
      </w:tr>
    </w:tbl>
    <w:sectPr w:rsidR="00FC693F" w:rsidRPr="0006063C" w:rsidSect="00034616">
      <w:footerReference w:type="default" r:id="rId9"/>
      <w:pgSz w:w="12240" w:h="15840"/>
      <w:pgMar w:top="1080" w:right="1224" w:bottom="1037"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anumGothic" w:hAnsi="NanumGothic" w:eastAsia="NanumGothic"/>
        <w:b w:val="0"/>
        <w:color w:val="7B8794"/>
        <w:sz w:val="18"/>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anumGothic" w:hAnsi="NanumGothic" w:eastAsia="NanumGothic"/>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NanumGothic" w:hAnsi="NanumGothic" w:eastAsia="NanumGothic"/>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NanumGothic" w:hAnsi="NanumGothic" w:eastAsia="NanumGothic"/>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NanumGothic" w:hAnsi="NanumGothic" w:eastAsia="NanumGothic"/>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rPr>
      <w:rFonts w:ascii="NanumGothic" w:hAnsi="NanumGothic" w:eastAsia="NanumGothic"/>
      <w:color w:val="000000"/>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rFonts w:ascii="NanumGothic" w:hAnsi="NanumGothic" w:eastAsia="NanumGothic"/>
      <w:color w:val="000000"/>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시장세분화에 따른 제품 포지셔닝 전략과 광고사례 분석</dc:title>
  <dc:subject>광고학 과제 참고용 샘플</dc:subject>
  <dc:creator>국민원격교육관리센터</dc:creator>
  <cp:keywords/>
  <dc:description>generated by python-docx</dc:description>
  <cp:lastModifiedBy/>
  <cp:revision>1</cp:revision>
  <dcterms:created xsi:type="dcterms:W3CDTF">2013-12-23T23:15:00Z</dcterms:created>
  <dcterms:modified xsi:type="dcterms:W3CDTF">2013-12-23T23:15:00Z</dcterms:modified>
  <cp:category/>
</cp:coreProperties>
</file>