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Pr>
        <w:pStyle w:val="Title"/>
        <w:jc w:val="center"/>
      </w:pPr>
      <w:r>
        <w:rPr>
          <w:rFonts w:ascii="NanumGothic" w:hAnsi="NanumGothic" w:eastAsia="NanumGothic"/>
          <w:b/>
          <w:color w:val="000000"/>
          <w:sz w:val="46"/>
        </w:rPr>
        <w:t>임상심리학의 발달과 역사적 전환</w:t>
      </w:r>
    </w:p>
    <w:p>
      <w:pPr>
        <w:spacing w:after="560"/>
        <w:jc w:val="center"/>
      </w:pPr>
      <w:r>
        <w:rPr>
          <w:rFonts w:ascii="NanumGothic" w:hAnsi="NanumGothic" w:eastAsia="NanumGothic"/>
          <w:b w:val="0"/>
          <w:color w:val="343A40"/>
          <w:sz w:val="27"/>
        </w:rPr>
        <w:t>제1차 세계대전과 제2차 세계대전 그리고 프로이트의 기여</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1800"/>
        <w:gridCol w:w="6984"/>
      </w:tblGrid>
      <w:tr>
        <w:tc>
          <w:tcPr>
            <w:tcW w:type="dxa" w:w="4925"/>
            <w:tcMar>
              <w:top w:w="120" w:type="dxa"/>
              <w:start w:w="140" w:type="dxa"/>
              <w:bottom w:w="120" w:type="dxa"/>
              <w:end w:w="140" w:type="dxa"/>
            </w:tcMar>
            <w:vAlign w:val="center"/>
            <w:shd w:fill="E8EEF5"/>
          </w:tcPr>
          <w:p>
            <w:pPr>
              <w:jc w:val="center"/>
            </w:pPr>
            <w:r>
              <w:rPr>
                <w:rFonts w:ascii="NanumGothic" w:hAnsi="NanumGothic" w:eastAsia="NanumGothic"/>
                <w:b/>
                <w:color w:val="000000"/>
                <w:sz w:val="20"/>
              </w:rPr>
              <w:t>과목명</w:t>
            </w:r>
          </w:p>
        </w:tc>
        <w:tc>
          <w:tcPr>
            <w:tcW w:type="dxa" w:w="4925"/>
            <w:tcMar>
              <w:top w:w="120" w:type="dxa"/>
              <w:start w:w="140" w:type="dxa"/>
              <w:bottom w:w="120" w:type="dxa"/>
              <w:end w:w="140" w:type="dxa"/>
            </w:tcMar>
            <w:vAlign w:val="center"/>
          </w:tcPr>
          <w:p>
            <w:r>
              <w:rPr>
                <w:rFonts w:ascii="NanumGothic" w:hAnsi="NanumGothic" w:eastAsia="NanumGothic"/>
                <w:color w:val="000000"/>
                <w:sz w:val="20"/>
              </w:rPr>
              <w:t>임상심리학</w:t>
            </w:r>
          </w:p>
        </w:tc>
      </w:tr>
      <w:tr>
        <w:tc>
          <w:tcPr>
            <w:tcW w:type="dxa" w:w="1800"/>
            <w:tcMar>
              <w:top w:w="120" w:type="dxa"/>
              <w:start w:w="140" w:type="dxa"/>
              <w:bottom w:w="120" w:type="dxa"/>
              <w:end w:w="140" w:type="dxa"/>
            </w:tcMar>
            <w:vAlign w:val="center"/>
            <w:shd w:fill="E8EEF5"/>
          </w:tcPr>
          <w:p>
            <w:pPr>
              <w:jc w:val="center"/>
            </w:pPr>
            <w:r>
              <w:rPr>
                <w:rFonts w:ascii="NanumGothic" w:hAnsi="NanumGothic" w:eastAsia="NanumGothic"/>
                <w:b/>
                <w:color w:val="000000"/>
                <w:sz w:val="20"/>
              </w:rPr>
              <w:t>과제 주제</w:t>
            </w:r>
          </w:p>
        </w:tc>
        <w:tc>
          <w:tcPr>
            <w:tcW w:type="dxa" w:w="6984"/>
            <w:tcMar>
              <w:top w:w="120" w:type="dxa"/>
              <w:start w:w="140" w:type="dxa"/>
              <w:bottom w:w="120" w:type="dxa"/>
              <w:end w:w="140" w:type="dxa"/>
            </w:tcMar>
            <w:vAlign w:val="center"/>
          </w:tcPr>
          <w:p>
            <w:r>
              <w:rPr>
                <w:rFonts w:ascii="NanumGothic" w:hAnsi="NanumGothic" w:eastAsia="NanumGothic"/>
                <w:color w:val="000000"/>
                <w:sz w:val="20"/>
              </w:rPr>
              <w:t>임상심리학 발달에 영향을 미친 제1차 세계대전과 제2차 세계대전 및 프로이트의 기여</w:t>
            </w:r>
          </w:p>
        </w:tc>
      </w:tr>
    </w:tbl>
    <w:p/>
    <w:p>
      <w:pPr>
        <w:spacing w:before="200" w:after="160"/>
      </w:pPr>
      <w:r>
        <w:rPr>
          <w:rFonts w:ascii="NanumGothic" w:hAnsi="NanumGothic" w:eastAsia="NanumGothic"/>
          <w:b/>
          <w:color w:val="000000"/>
          <w:sz w:val="26"/>
        </w:rPr>
        <w:t>목차</w:t>
      </w:r>
    </w:p>
    <w:p>
      <w:pPr>
        <w:spacing w:after="60"/>
        <w:ind w:left="259"/>
      </w:pPr>
      <w:r>
        <w:rPr>
          <w:rFonts w:ascii="NanumGothic" w:hAnsi="NanumGothic" w:eastAsia="NanumGothic"/>
          <w:color w:val="000000"/>
          <w:sz w:val="19"/>
        </w:rPr>
        <w:t>1 서론</w:t>
      </w:r>
    </w:p>
    <w:p>
      <w:pPr>
        <w:spacing w:after="60"/>
        <w:ind w:left="259"/>
      </w:pPr>
      <w:r>
        <w:rPr>
          <w:rFonts w:ascii="NanumGothic" w:hAnsi="NanumGothic" w:eastAsia="NanumGothic"/>
          <w:color w:val="000000"/>
          <w:sz w:val="19"/>
        </w:rPr>
        <w:t>2 제1차 세계대전과 임상심리학의 변화</w:t>
      </w:r>
    </w:p>
    <w:p>
      <w:pPr>
        <w:spacing w:after="60"/>
        <w:ind w:left="259"/>
      </w:pPr>
      <w:r>
        <w:rPr>
          <w:rFonts w:ascii="NanumGothic" w:hAnsi="NanumGothic" w:eastAsia="NanumGothic"/>
          <w:color w:val="000000"/>
          <w:sz w:val="19"/>
        </w:rPr>
        <w:t>3 제2차 세계대전과 임상심리학의 제도화</w:t>
      </w:r>
    </w:p>
    <w:p>
      <w:pPr>
        <w:spacing w:after="60"/>
        <w:ind w:left="259"/>
      </w:pPr>
      <w:r>
        <w:rPr>
          <w:rFonts w:ascii="NanumGothic" w:hAnsi="NanumGothic" w:eastAsia="NanumGothic"/>
          <w:color w:val="000000"/>
          <w:sz w:val="19"/>
        </w:rPr>
        <w:t>4 프로이트의 이론과 치료적 기여</w:t>
      </w:r>
    </w:p>
    <w:p>
      <w:pPr>
        <w:spacing w:after="60"/>
        <w:ind w:left="259"/>
      </w:pPr>
      <w:r>
        <w:rPr>
          <w:rFonts w:ascii="NanumGothic" w:hAnsi="NanumGothic" w:eastAsia="NanumGothic"/>
          <w:color w:val="000000"/>
          <w:sz w:val="19"/>
        </w:rPr>
        <w:t>5 전쟁과 정신분석의 상호작용</w:t>
      </w:r>
    </w:p>
    <w:p>
      <w:pPr>
        <w:spacing w:after="60"/>
        <w:ind w:left="259"/>
      </w:pPr>
      <w:r>
        <w:rPr>
          <w:rFonts w:ascii="NanumGothic" w:hAnsi="NanumGothic" w:eastAsia="NanumGothic"/>
          <w:color w:val="000000"/>
          <w:sz w:val="19"/>
        </w:rPr>
        <w:t>6 종합적 평가와 결론</w:t>
      </w:r>
    </w:p>
    <w:p>
      <w:pPr>
        <w:spacing w:after="60"/>
        <w:ind w:left="259"/>
      </w:pPr>
      <w:r>
        <w:rPr>
          <w:rFonts w:ascii="NanumGothic" w:hAnsi="NanumGothic" w:eastAsia="NanumGothic"/>
          <w:color w:val="000000"/>
          <w:sz w:val="19"/>
        </w:rPr>
        <w:t>참고문헌</w:t>
      </w:r>
    </w:p>
    <w:p>
      <w:r>
        <w:br w:type="page"/>
      </w:r>
    </w:p>
    <w:p>
      <w:pPr>
        <w:spacing w:after="120"/>
        <w:jc w:val="right"/>
      </w:pPr>
      <w:r>
        <w:rPr>
          <w:rFonts w:ascii="NanumGothic" w:hAnsi="NanumGothic" w:eastAsia="NanumGothic"/>
          <w:b/>
          <w:color w:val="5B6573"/>
          <w:sz w:val="17"/>
        </w:rPr>
        <w:t>임상심리학 과제 참고용 샘플</w:t>
      </w:r>
    </w:p>
    <w:p>
      <w:pPr>
        <w:pStyle w:val="Heading1"/>
        <w:keepNext/>
      </w:pPr>
      <w:r>
        <w:t>1 서론</w:t>
      </w:r>
    </w:p>
    <w:p>
      <w:pPr>
        <w:pStyle w:val="BodyText"/>
        <w:keepLines w:val="0"/>
        <w:widowControl/>
        <w:ind w:firstLine="360"/>
      </w:pPr>
      <w:r>
        <w:rPr>
          <w:rFonts w:ascii="NanumGothic" w:hAnsi="NanumGothic" w:eastAsia="NanumGothic"/>
          <w:color w:val="000000"/>
          <w:sz w:val="21"/>
        </w:rPr>
        <w:t>임상심리학은 개인의 심리적 고통을 평가하고 설명하며 치료하는 학문이지만, 그 발전은 학문 내부의 이론 축적만으로 이루어지지 않았다. 특히 제1차 세계대전과 제2차 세계대전은 짧은 기간에 대규모 인원의 선발, 정신건강 판정, 전투 스트레스 치료, 부상 군인의 재활을 요구했다. 전쟁은 인간에게 막대한 고통을 남겼으나, 동시에 기존 의료 체계가 감당하지 못하던 심리 문제를 공적 과제로 드러냈다. 이에 따라 심리검사와 면접, 사례기록, 집단치료, 재활상담이 조직적으로 사용되었고 임상심리학자의 역할도 연구 보조자에서 독립적인 전문직으로 확대되었다.</w:t>
      </w:r>
    </w:p>
    <w:p>
      <w:pPr>
        <w:pStyle w:val="BodyText"/>
        <w:keepLines w:val="0"/>
        <w:widowControl/>
        <w:ind w:firstLine="360"/>
      </w:pPr>
      <w:r>
        <w:rPr>
          <w:rFonts w:ascii="NanumGothic" w:hAnsi="NanumGothic" w:eastAsia="NanumGothic"/>
          <w:color w:val="000000"/>
          <w:sz w:val="21"/>
        </w:rPr>
        <w:t>지그문트 프로이트의 정신분석은 전쟁과는 다른 경로에서 임상심리학의 지적 토대를 마련했다. 프로이트는 증상을 단순한 결함이나 의지 부족으로 보지 않고 무의식적 갈등, 방어, 초기 관계 경험이 표현된 결과로 해석했다. 또한 환자의 말을 체계적으로 듣고 전이와 저항을 분석하는 치료 모델을 제시했다. 그의 이론 전체가 오늘날의 경험과학 기준을 충족하는 것은 아니지만, 심리적 증상에 의미가 있으며 치료 관계와 개인의 삶의 역사를 통해 그 의미를 이해할 수 있다는 관점은 임상 실천에 지속적인 영향을 주었다.</w:t>
      </w:r>
    </w:p>
    <w:p>
      <w:pPr>
        <w:pStyle w:val="Heading2"/>
        <w:keepNext/>
      </w:pPr>
      <w:r>
        <w:t>연구의 관점</w:t>
      </w:r>
    </w:p>
    <w:p>
      <w:pPr>
        <w:pStyle w:val="BodyText"/>
        <w:keepLines w:val="0"/>
        <w:widowControl/>
        <w:ind w:firstLine="360"/>
      </w:pPr>
      <w:r>
        <w:rPr>
          <w:rFonts w:ascii="NanumGothic" w:hAnsi="NanumGothic" w:eastAsia="NanumGothic"/>
          <w:color w:val="000000"/>
          <w:sz w:val="21"/>
        </w:rPr>
        <w:t>본 과제는 세 요소의 기여를 같은 수준에서 나열하지 않는다. 두 차례의 세계대전은 임상심리학의 수요와 훈련 제도, 공공적 지위를 크게 확장한 역사적 조건으로 살펴본다. 프로이트는 정신병리와 심리치료를 설명하는 개념적 틀과 임상적 방법을 제공한 인물로 검토한다. 마지막으로 전쟁 경험과 정신분석이 서로 영향을 주며 외상에 대한 이해를 어떻게 변화시켰는지 분석하고, 각 기여의 한계까지 함께 평가한다.</w:t>
      </w:r>
    </w:p>
    <w:p>
      <w:r>
        <w:br w:type="page"/>
      </w:r>
    </w:p>
    <w:p>
      <w:pPr>
        <w:spacing w:after="120"/>
        <w:jc w:val="right"/>
      </w:pPr>
      <w:r>
        <w:rPr>
          <w:rFonts w:ascii="NanumGothic" w:hAnsi="NanumGothic" w:eastAsia="NanumGothic"/>
          <w:b/>
          <w:color w:val="5B6573"/>
          <w:sz w:val="17"/>
        </w:rPr>
        <w:t>임상심리학 과제 참고용 샘플</w:t>
      </w:r>
    </w:p>
    <w:p>
      <w:pPr>
        <w:pStyle w:val="Heading1"/>
        <w:keepNext/>
      </w:pPr>
      <w:r>
        <w:t>2 제1차 세계대전과 임상심리학의 변화</w:t>
      </w:r>
    </w:p>
    <w:p>
      <w:pPr>
        <w:pStyle w:val="Heading2"/>
        <w:keepNext/>
      </w:pPr>
      <w:r>
        <w:t>대규모 심리검사의 도입</w:t>
      </w:r>
    </w:p>
    <w:p>
      <w:pPr>
        <w:pStyle w:val="BodyText"/>
        <w:keepLines w:val="0"/>
        <w:widowControl/>
        <w:ind w:firstLine="360"/>
      </w:pPr>
      <w:r>
        <w:rPr>
          <w:rFonts w:ascii="NanumGothic" w:hAnsi="NanumGothic" w:eastAsia="NanumGothic"/>
          <w:color w:val="000000"/>
          <w:sz w:val="21"/>
        </w:rPr>
        <w:t>제1차 세계대전에서 미국은 짧은 기간에 수많은 신병을 분류하고 적합한 임무에 배치해야 했다. 로버트 여키스가 이끈 심리학자들은 집단 지능검사인 육군 알파 검사와 육군 베타 검사를 개발하고 시행했다. 알파 검사는 문자 해독이 가능한 집단을, 베타 검사는 영어 능력이나 문해력이 제한된 집단을 평가하도록 설계되었다. 이 검사는 지능을 문화와 교육의 영향에서 완전히 분리하지 못했고 결과가 이민자와 소수집단에 대한 편견을 강화하는 데 이용되었다는 비판을 받는다. 그럼에도 표준화된 절차로 대규모 인원을 평가할 수 있다는 사실은 심리검사의 행정적 효용을 정부와 군에 각인시켰다. 전후 학교, 병원, 교정기관에서 검사 활용이 확대된 배경에는 이러한 전시 경험이 있었다.</w:t>
      </w:r>
    </w:p>
    <w:p>
      <w:pPr>
        <w:pStyle w:val="Heading2"/>
        <w:keepNext/>
      </w:pPr>
      <w:r>
        <w:t>전쟁 신경증과 심리적 원인의 가시화</w:t>
      </w:r>
    </w:p>
    <w:p>
      <w:pPr>
        <w:pStyle w:val="BodyText"/>
        <w:keepLines w:val="0"/>
        <w:widowControl/>
        <w:ind w:firstLine="360"/>
      </w:pPr>
      <w:r>
        <w:rPr>
          <w:rFonts w:ascii="NanumGothic" w:hAnsi="NanumGothic" w:eastAsia="NanumGothic"/>
          <w:color w:val="000000"/>
          <w:sz w:val="21"/>
        </w:rPr>
        <w:t>참호전에서 병사들은 마비, 떨림, 실어, 악몽, 기억상실과 같은 증상을 보였지만 뚜렷한 신체 손상이 확인되지 않는 경우가 많았다. 당시에는 이를 포탄 충격에 따른 신경 손상으로 해석하거나 겁이 많고 의지가 약한 사람의 문제로 취급하기도 했다. 그러나 증상이 전투 경험과 정서적 충격, 지속적인 공포와 관련된다는 관찰이 축적되면서 심리적 외상이 신체 기능과 행동에 실제 변화를 일으킬 수 있다는 인식이 넓어졌다. 이는 꾀병과 도덕적 결함이라는 설명에서 벗어나 병력, 환경, 증상의 관계를 면밀히 살피는 임상적 태도를 촉진했다.</w:t>
      </w:r>
    </w:p>
    <w:p>
      <w:pPr>
        <w:pStyle w:val="Heading2"/>
        <w:keepNext/>
      </w:pPr>
      <w:r>
        <w:t>전문직 성장과 윤리적 교훈</w:t>
      </w:r>
    </w:p>
    <w:p>
      <w:pPr>
        <w:pStyle w:val="BodyText"/>
        <w:keepLines w:val="0"/>
        <w:widowControl/>
        <w:ind w:firstLine="360"/>
      </w:pPr>
      <w:r>
        <w:rPr>
          <w:rFonts w:ascii="NanumGothic" w:hAnsi="NanumGothic" w:eastAsia="NanumGothic"/>
          <w:color w:val="000000"/>
          <w:sz w:val="21"/>
        </w:rPr>
        <w:t>전쟁은 심리학자에게 평가와 상담의 실용적 역할을 제공했지만 그 역할이 곧바로 충분한 전문성이나 윤리를 보장한 것은 아니다. 검사 결과를 개인의 절대적 능력으로 해석하거나 집단 간 우열의 근거로 일반화하면 측정 도구는 차별을 정당화할 수 있다. 제1차 세계대전의 경험은 임상심리학이 객관적 측정을 발전시키는 것과 동시에 검사 타당도, 문화적 공정성, 결과 사용의 책임을 검토해야 한다는 과제를 남겼다. 따라서 이 시기의 의미는 검사 규모의 확대뿐 아니라 평가가 사회적 권력과 결합할 때 발생할 위험을 확인한 데에도 있다.</w:t>
      </w:r>
    </w:p>
    <w:p>
      <w:r>
        <w:br w:type="page"/>
      </w:r>
    </w:p>
    <w:p>
      <w:pPr>
        <w:spacing w:after="120"/>
        <w:jc w:val="right"/>
      </w:pPr>
      <w:r>
        <w:rPr>
          <w:rFonts w:ascii="NanumGothic" w:hAnsi="NanumGothic" w:eastAsia="NanumGothic"/>
          <w:b/>
          <w:color w:val="5B6573"/>
          <w:sz w:val="17"/>
        </w:rPr>
        <w:t>임상심리학 과제 참고용 샘플</w:t>
      </w:r>
    </w:p>
    <w:p>
      <w:pPr>
        <w:pStyle w:val="Heading1"/>
        <w:keepNext/>
      </w:pPr>
      <w:r>
        <w:t>3 제2차 세계대전과 임상심리학의 제도화</w:t>
      </w:r>
    </w:p>
    <w:p>
      <w:pPr>
        <w:pStyle w:val="Heading2"/>
        <w:keepNext/>
      </w:pPr>
      <w:r>
        <w:t>선발에서 치료와 재활로 확장된 역할</w:t>
      </w:r>
    </w:p>
    <w:p>
      <w:pPr>
        <w:pStyle w:val="BodyText"/>
        <w:keepLines w:val="0"/>
        <w:widowControl/>
        <w:ind w:firstLine="360"/>
      </w:pPr>
      <w:r>
        <w:rPr>
          <w:rFonts w:ascii="NanumGothic" w:hAnsi="NanumGothic" w:eastAsia="NanumGothic"/>
          <w:color w:val="000000"/>
          <w:sz w:val="21"/>
        </w:rPr>
        <w:t>제2차 세계대전에서도 군은 지능, 적성, 성격, 정서적 안정성을 평가해 인력을 선발하고 배치했다. 그러나 전투가 장기화되고 정신적 탈진과 불안, 우울, 심신증상을 보이는 병사가 급증하면서 심리학자의 업무는 검사 시행에 머물 수 없었다. 심리학자들은 정신과 팀에서 면접, 심리평가, 치료, 연구와 재활 업무를 담당했다. 전선 가까이에서 휴식과 수면, 기본 욕구 회복, 조기 개입을 제공하면 일부 병사가 기능을 회복할 수 있다는 경험도 축적되었다. 이는 심리적 손상을 조기에 발견하고 환경과 기능 회복을 함께 고려하는 임상 모델의 발전에 영향을 주었다.</w:t>
      </w:r>
    </w:p>
    <w:p>
      <w:pPr>
        <w:pStyle w:val="Heading2"/>
        <w:keepNext/>
      </w:pPr>
      <w:r>
        <w:t>참전군인 지원과 훈련 체계의 확대</w:t>
      </w:r>
    </w:p>
    <w:p>
      <w:pPr>
        <w:pStyle w:val="BodyText"/>
        <w:keepLines w:val="0"/>
        <w:widowControl/>
        <w:ind w:firstLine="360"/>
      </w:pPr>
      <w:r>
        <w:rPr>
          <w:rFonts w:ascii="NanumGothic" w:hAnsi="NanumGothic" w:eastAsia="NanumGothic"/>
          <w:color w:val="000000"/>
          <w:sz w:val="21"/>
        </w:rPr>
        <w:t>종전 뒤에는 수많은 참전군인이 외상 후 증상, 신체장애, 가족 및 직업 적응 문제를 안고 사회로 돌아왔다. 미국 재향군인 행정기관과 병원은 이들을 평가하고 치료할 전문 인력을 필요로 했고, 대학원 교육과 임상실습을 지원했다. 수요의 증가는 임상심리학자가 병원에서 진단과 심리치료를 수행하는 기반을 넓혔다. 1949년 볼더 회의에서 정립된 과학자 실무자 모형은 임상심리학자를 연구 방법을 이해하는 과학자이자 평가와 치료를 수행하는 실무자로 훈련해야 한다는 원칙을 제시했다. 전쟁이 회의를 직접 만들어 냈다고 단순화할 수는 없지만, 전시와 전후의 인력 부족이 훈련 기준을 명확히 할 필요성을 크게 높였다는 점은 분명하다.</w:t>
      </w:r>
    </w:p>
    <w:p>
      <w:pPr>
        <w:pStyle w:val="Heading2"/>
        <w:keepNext/>
      </w:pPr>
      <w:r>
        <w:t>진단과 치료의 공공적 책임</w:t>
      </w:r>
    </w:p>
    <w:p>
      <w:pPr>
        <w:pStyle w:val="BodyText"/>
        <w:keepLines w:val="0"/>
        <w:widowControl/>
        <w:ind w:firstLine="360"/>
      </w:pPr>
      <w:r>
        <w:rPr>
          <w:rFonts w:ascii="NanumGothic" w:hAnsi="NanumGothic" w:eastAsia="NanumGothic"/>
          <w:color w:val="000000"/>
          <w:sz w:val="21"/>
        </w:rPr>
        <w:t>제2차 세계대전은 정신건강 문제를 개인이나 가족이 감당할 사적 문제로만 보기 어렵게 만들었다. 국가가 군인을 동원했다면 전투에서 발생한 심리적 손상에 대한 치료와 재활에도 책임을 져야 한다는 인식이 강화되었다. 임상심리학은 이 과정에서 병원, 대학, 정부기관을 연결하는 전문 분야로 성장했다. 동시에 군사적 효율성을 위해 사람을 분류하는 목적과 개인의 회복과 권리를 보호하는 목적 사이의 긴장도 드러났다. 현대 임상심리학이 사전 동의, 비밀보장, 검사 사용 자격, 문화적 타당성을 중시하는 이유를 이해하려면 이러한 역사적 긴장을 함께 살펴야 한다.</w:t>
      </w:r>
    </w:p>
    <w:p>
      <w:r>
        <w:br w:type="page"/>
      </w:r>
    </w:p>
    <w:p>
      <w:pPr>
        <w:spacing w:after="120"/>
        <w:jc w:val="right"/>
      </w:pPr>
      <w:r>
        <w:rPr>
          <w:rFonts w:ascii="NanumGothic" w:hAnsi="NanumGothic" w:eastAsia="NanumGothic"/>
          <w:b/>
          <w:color w:val="5B6573"/>
          <w:sz w:val="17"/>
        </w:rPr>
        <w:t>임상심리학 과제 참고용 샘플</w:t>
      </w:r>
    </w:p>
    <w:p>
      <w:pPr>
        <w:pStyle w:val="Heading1"/>
        <w:keepNext/>
      </w:pPr>
      <w:r>
        <w:t>4 프로이트의 이론과 치료적 기여</w:t>
      </w:r>
    </w:p>
    <w:p>
      <w:pPr>
        <w:pStyle w:val="Heading2"/>
        <w:keepNext/>
      </w:pPr>
      <w:r>
        <w:t>무의식과 역동적 정신관</w:t>
      </w:r>
    </w:p>
    <w:p>
      <w:pPr>
        <w:pStyle w:val="BodyText"/>
        <w:keepLines w:val="0"/>
        <w:widowControl/>
        <w:ind w:firstLine="360"/>
      </w:pPr>
      <w:r>
        <w:rPr>
          <w:rFonts w:ascii="NanumGothic" w:hAnsi="NanumGothic" w:eastAsia="NanumGothic"/>
          <w:color w:val="000000"/>
          <w:sz w:val="21"/>
        </w:rPr>
        <w:t>프로이트의 핵심 기여는 인간의 행동과 증상이 의식적인 판단만으로 설명되지 않는다고 본 데 있다. 그는 받아들이기 어려운 욕구와 기억이 억압되더라도 꿈, 실수, 반복 행동, 신체 증상으로 나타날 수 있다고 설명했다. 이 관점은 환자의 증상을 제거해야 할 표면적 문제로만 보지 않고 그 증상이 개인에게 어떤 기능과 의미를 지니는지 묻게 했다. 원초아, 자아, 초자아의 구조 이론과 불안 및 방어기제에 대한 설명은 이후 성격이론과 정신병리 이해에 영향을 주었다. 오늘날 임상가는 이 개념을 그대로 채택하지 않더라도 자동적이고 비의식적인 처리, 정서 조절, 회피와 방어 같은 현상을 탐구한다.</w:t>
      </w:r>
    </w:p>
    <w:p>
      <w:pPr>
        <w:pStyle w:val="Heading2"/>
        <w:keepNext/>
      </w:pPr>
      <w:r>
        <w:t>말을 통한 치료와 치료 관계</w:t>
      </w:r>
    </w:p>
    <w:p>
      <w:pPr>
        <w:pStyle w:val="BodyText"/>
        <w:keepLines w:val="0"/>
        <w:widowControl/>
        <w:ind w:firstLine="360"/>
      </w:pPr>
      <w:r>
        <w:rPr>
          <w:rFonts w:ascii="NanumGothic" w:hAnsi="NanumGothic" w:eastAsia="NanumGothic"/>
          <w:color w:val="000000"/>
          <w:sz w:val="21"/>
        </w:rPr>
        <w:t>프로이트는 자유연상, 꿈의 해석, 저항의 분석, 전이의 해석을 통해 환자가 반복하는 관계 양식과 갈등을 이해하고 통찰하도록 돕고자 했다. 여기에서 중요한 변화는 치료가 의사의 지시나 신체적 처치만으로 이루어지는 것이 아니라 환자의 말과 치료자와의 관계 자체를 자료로 삼을 수 있다는 점이었다. 전이는 환자가 과거의 중요한 관계에서 형성한 감정과 기대를 치료자에게 되풀이하는 현상을 뜻한다. 저항은 고통스러운 내용을 피하거나 치료의 변화를 막는 과정이다. 이러한 개념은 현대의 정신역동치료뿐 아니라 치료 동맹, 관계 패턴, 회피를 중시하는 여러 치료 접근에도 간접적으로 이어졌다.</w:t>
      </w:r>
    </w:p>
    <w:p>
      <w:pPr>
        <w:pStyle w:val="Heading2"/>
        <w:keepNext/>
      </w:pPr>
      <w:r>
        <w:t>발달과 사례 이해의 틀</w:t>
      </w:r>
    </w:p>
    <w:p>
      <w:pPr>
        <w:pStyle w:val="BodyText"/>
        <w:keepLines w:val="0"/>
        <w:widowControl/>
        <w:ind w:firstLine="360"/>
      </w:pPr>
      <w:r>
        <w:rPr>
          <w:rFonts w:ascii="NanumGothic" w:hAnsi="NanumGothic" w:eastAsia="NanumGothic"/>
          <w:color w:val="000000"/>
          <w:sz w:val="21"/>
        </w:rPr>
        <w:t>프로이트는 성인기의 증상을 현재 상황만이 아니라 초기 양육 경험과 발달 과정 속에서 이해해야 한다고 주장했다. 이는 환자를 진단명으로만 분류하지 않고 개인의 성장사, 가족관계, 갈등, 대처 방식을 종합해 사례를 개념화하는 전통에 기여했다. 임상 면접에서 과거력과 관계사를 질문하고 증상이 언제 시작되어 어떤 상황에서 유지되는지 살피는 태도는 이 전통과 연결된다. 다만 프로이트가 제시한 심리성적 발달 단계와 여성에 관한 일부 설명은 시대적 편견을 포함하고 있으며, 제한된 사례를 보편적 인간 발달로 일반화했다는 비판을 받는다.</w:t>
      </w:r>
    </w:p>
    <w:p>
      <w:r>
        <w:br w:type="page"/>
      </w:r>
    </w:p>
    <w:p>
      <w:pPr>
        <w:spacing w:after="120"/>
        <w:jc w:val="right"/>
      </w:pPr>
      <w:r>
        <w:rPr>
          <w:rFonts w:ascii="NanumGothic" w:hAnsi="NanumGothic" w:eastAsia="NanumGothic"/>
          <w:b/>
          <w:color w:val="5B6573"/>
          <w:sz w:val="17"/>
        </w:rPr>
        <w:t>임상심리학 과제 참고용 샘플</w:t>
      </w:r>
    </w:p>
    <w:p>
      <w:pPr>
        <w:pStyle w:val="Heading1"/>
        <w:keepNext/>
      </w:pPr>
      <w:r>
        <w:t>5 전쟁과 정신분석의 상호작용</w:t>
      </w:r>
    </w:p>
    <w:p>
      <w:pPr>
        <w:pStyle w:val="Heading2"/>
        <w:keepNext/>
      </w:pPr>
      <w:r>
        <w:t>전쟁 신경증이 던진 임상적 질문</w:t>
      </w:r>
    </w:p>
    <w:p>
      <w:pPr>
        <w:pStyle w:val="BodyText"/>
        <w:keepLines w:val="0"/>
        <w:widowControl/>
        <w:ind w:firstLine="360"/>
      </w:pPr>
      <w:r>
        <w:rPr>
          <w:rFonts w:ascii="NanumGothic" w:hAnsi="NanumGothic" w:eastAsia="NanumGothic"/>
          <w:color w:val="000000"/>
          <w:sz w:val="21"/>
        </w:rPr>
        <w:t>전쟁 신경증은 위험이 끝난 뒤에도 악몽과 공포, 신체 증상, 반복 기억이 지속될 수 있음을 보여 주었다. 정신분석가들은 이를 무의식적 갈등과 외상의 관계로 설명하려 했다. 프로이트는 제1차 세계대전 이후 반복강박을 검토하면서 사람이 불쾌한 경험을 피하기만 하는 것이 아니라 통제되지 않는 방식으로 되풀이할 수 있다는 점에 주목했다. 그는 이를 쾌락원칙만으로 설명하기 어렵다고 보았고 이후 죽음충동이라는 가설을 제시했다. 죽음충동은 경험적 검증이 어려운 사변적 개념이지만, 외상 환자가 고통스러운 장면과 관계 패턴을 반복한다는 임상적 관찰은 이후 외상 연구가 다루는 중요한 질문으로 남았다.</w:t>
      </w:r>
    </w:p>
    <w:p>
      <w:pPr>
        <w:pStyle w:val="Heading2"/>
        <w:keepNext/>
      </w:pPr>
      <w:r>
        <w:t>정신분석의 국제적 확산</w:t>
      </w:r>
    </w:p>
    <w:p>
      <w:pPr>
        <w:pStyle w:val="BodyText"/>
        <w:keepLines w:val="0"/>
        <w:widowControl/>
        <w:ind w:firstLine="360"/>
      </w:pPr>
      <w:r>
        <w:rPr>
          <w:rFonts w:ascii="NanumGothic" w:hAnsi="NanumGothic" w:eastAsia="NanumGothic"/>
          <w:color w:val="000000"/>
          <w:sz w:val="21"/>
        </w:rPr>
        <w:t>제2차 세계대전 전후 유럽의 박해와 망명은 정신분석가와 정신의학자의 이동을 촉진했다. 이들이 영국과 미국의 대학, 병원, 훈련기관에 정착하면서 정신분석적 개념은 임상심리학과 정신의학 교육에 널리 포함되었다. 전후 수십 년 동안 장기 정신역동치료와 투사검사가 큰 영향력을 가졌던 배경에는 이러한 인적 이동과 병원 중심의 훈련 체계가 있었다. 따라서 정신분석의 확산은 이론의 설득력만으로 설명되지 않으며 전쟁이 만든 이주, 기관 재편, 치료 인력 수요라는 역사적 조건과 함께 이해해야 한다.</w:t>
      </w:r>
    </w:p>
    <w:p>
      <w:pPr>
        <w:pStyle w:val="Heading2"/>
        <w:keepNext/>
      </w:pPr>
      <w:r>
        <w:t>현대 외상 연구와의 차이</w:t>
      </w:r>
    </w:p>
    <w:p>
      <w:pPr>
        <w:pStyle w:val="BodyText"/>
        <w:keepLines w:val="0"/>
        <w:widowControl/>
        <w:ind w:firstLine="360"/>
      </w:pPr>
      <w:r>
        <w:rPr>
          <w:rFonts w:ascii="NanumGothic" w:hAnsi="NanumGothic" w:eastAsia="NanumGothic"/>
          <w:color w:val="000000"/>
          <w:sz w:val="21"/>
        </w:rPr>
        <w:t>현대의 외상 후 스트레스 연구는 외상 노출, 침투 증상, 회피, 부정적 인지와 정서, 과각성 같은 관찰 가능한 증상군을 체계적으로 평가한다. 인지행동치료, 노출치료, 안구운동 둔감화 및 재처리 등은 통제 연구를 통해 효과를 검토한다. 이는 주로 해석과 사례연구에 의존했던 초기 정신분석과 방법론적으로 다르다. 그러나 외상이 기억과 관계, 자아감에 장기적인 흔적을 남기며 환자의 이야기를 안전한 관계 속에서 다루어야 한다는 문제의식에는 역사적 연속성이 있다. 임상심리학은 정신분석이 제기한 질문을 유지하면서도 측정과 검증 방법을 수정해 온 셈이다.</w:t>
      </w:r>
    </w:p>
    <w:p>
      <w:r>
        <w:br w:type="page"/>
      </w:r>
    </w:p>
    <w:p>
      <w:pPr>
        <w:spacing w:after="120"/>
        <w:jc w:val="right"/>
      </w:pPr>
      <w:r>
        <w:rPr>
          <w:rFonts w:ascii="NanumGothic" w:hAnsi="NanumGothic" w:eastAsia="NanumGothic"/>
          <w:b/>
          <w:color w:val="5B6573"/>
          <w:sz w:val="17"/>
        </w:rPr>
        <w:t>임상심리학 과제 참고용 샘플</w:t>
      </w:r>
    </w:p>
    <w:p>
      <w:pPr>
        <w:pStyle w:val="Heading1"/>
        <w:keepNext/>
      </w:pPr>
      <w:r>
        <w:t>6 종합적 평가와 결론</w:t>
      </w:r>
    </w:p>
    <w:p>
      <w:pPr>
        <w:pStyle w:val="Heading2"/>
        <w:keepNext/>
      </w:pPr>
      <w:r>
        <w:t>세 가지 기여의 비교</w:t>
      </w:r>
    </w:p>
    <w:p>
      <w:pPr>
        <w:pStyle w:val="BodyText"/>
        <w:keepLines w:val="0"/>
        <w:widowControl/>
        <w:ind w:firstLine="360"/>
      </w:pPr>
      <w:r>
        <w:rPr>
          <w:rFonts w:ascii="NanumGothic" w:hAnsi="NanumGothic" w:eastAsia="NanumGothic"/>
          <w:color w:val="000000"/>
          <w:sz w:val="21"/>
        </w:rPr>
        <w:t>제1차 세계대전은 심리검사를 대규모 행정과 군사 선발에 적용함으로써 심리학의 실용성을 입증했고, 전쟁 신경증을 통해 심리적 외상의 현실을 드러냈다. 제2차 세계대전은 평가 중심이던 심리학자의 역할을 치료와 재활로 넓히고 대학원 훈련, 병원 실습, 전문직 기준을 제도화하는 계기를 제공했다. 프로이트는 이와 별개로 무의식적 갈등, 방어, 발달사, 치료 관계를 중심으로 증상을 이해하는 언어를 제공했다. 요약하면 전쟁은 임상심리학이 활동할 사회적 공간과 제도를 확대했고, 프로이트는 그 공간에서 환자의 내면과 관계를 해석할 이론적 틀을 제공했다.</w:t>
      </w:r>
    </w:p>
    <w:p>
      <w:pPr>
        <w:pStyle w:val="Heading2"/>
        <w:keepNext/>
      </w:pPr>
      <w:r>
        <w:t>비판적으로 계승해야 할 역사</w:t>
      </w:r>
    </w:p>
    <w:p>
      <w:pPr>
        <w:pStyle w:val="BodyText"/>
        <w:keepLines w:val="0"/>
        <w:widowControl/>
        <w:ind w:firstLine="360"/>
      </w:pPr>
      <w:r>
        <w:rPr>
          <w:rFonts w:ascii="NanumGothic" w:hAnsi="NanumGothic" w:eastAsia="NanumGothic"/>
          <w:color w:val="000000"/>
          <w:sz w:val="21"/>
        </w:rPr>
        <w:t>이 역사에는 성취와 위험이 함께 존재한다. 전시 심리검사는 표준화와 효율성을 발전시켰지만 문화적 편향과 낙인의 수단이 될 수 있었다. 군대에서의 치료는 조기 개입과 재활의 가능성을 보여 주었지만, 병사를 전투에 복귀시키는 조직의 목적이 개인의 복지보다 앞설 위험도 있었다. 정신분석은 환자의 주관적 경험과 치료 관계를 중시했으나 일부 개념은 반증 가능성이 낮고 문화와 성별에 관한 편견을 포함했다. 따라서 임상심리학의 발전을 단순한 성공 서사로 이해하기보다 어떤 사회적 필요가 지식과 전문직을 만들었으며 그 과정에서 누구의 경험이 배제되었는지를 질문해야 한다.</w:t>
      </w:r>
    </w:p>
    <w:p>
      <w:pPr>
        <w:pStyle w:val="Heading2"/>
        <w:keepNext/>
      </w:pPr>
      <w:r>
        <w:t>학습자의 견해</w:t>
      </w:r>
    </w:p>
    <w:p>
      <w:pPr>
        <w:pStyle w:val="BodyText"/>
        <w:keepLines w:val="0"/>
        <w:widowControl/>
        <w:ind w:firstLine="360"/>
      </w:pPr>
      <w:r>
        <w:rPr>
          <w:rFonts w:ascii="NanumGothic" w:hAnsi="NanumGothic" w:eastAsia="NanumGothic"/>
          <w:color w:val="000000"/>
          <w:sz w:val="21"/>
        </w:rPr>
        <w:t>나는 임상심리학의 가장 중요한 발전이 특정 이론 하나의 승리라기보다 관찰, 측정, 관계적 이해가 서로 긴장하면서 보완된 과정이라고 생각한다. 전쟁은 심리적 고통을 눈앞의 현실로 만들었고 신속한 평가와 개입의 필요성을 높였다. 프로이트는 속도와 분류만으로는 환자를 충분히 이해할 수 없으며 증상 뒤에 개인의 기억과 갈등, 관계 경험이 있음을 강조했다. 현대 임상가는 두 전통의 장점을 선택적으로 계승해야 한다. 평가는 신뢰도와 타당도, 문화적 공정성을 갖추어야 하고 치료는 경험적 근거를 따르되 환자의 서사와 선택을 존중해야 한다.</w:t>
      </w:r>
    </w:p>
    <w:p>
      <w:pPr>
        <w:pStyle w:val="BodyText"/>
        <w:keepLines w:val="0"/>
        <w:widowControl/>
        <w:ind w:firstLine="360"/>
      </w:pPr>
      <w:r>
        <w:rPr>
          <w:rFonts w:ascii="NanumGothic" w:hAnsi="NanumGothic" w:eastAsia="NanumGothic"/>
          <w:color w:val="000000"/>
          <w:sz w:val="21"/>
        </w:rPr>
        <w:t>결론적으로 제1차 세계대전과 제2차 세계대전은 임상심리학을 실험실 밖으로 이동시켜 군대, 병원, 재활기관, 대학원 교육 속에 정착시킨 역사적 압력이었다. 프로이트는 심리적 증상을 이해하고 말을 통해 치료할 수 있다는 임상적 상상력을 확장했다. 오늘날 임상심리학은 검사 편향과 권력관계, 이론의 검증 가능성을 비판하며 안전하고 효과적인 평가와 치료를 구축해야 한다.</w:t>
      </w:r>
    </w:p>
    <w:p>
      <w:pPr>
        <w:pageBreakBefore/>
        <w:spacing w:after="120"/>
        <w:jc w:val="right"/>
      </w:pPr>
      <w:r>
        <w:rPr>
          <w:rFonts w:ascii="NanumGothic" w:hAnsi="NanumGothic" w:eastAsia="NanumGothic"/>
          <w:b/>
          <w:color w:val="5B6573"/>
          <w:sz w:val="17"/>
        </w:rPr>
        <w:t>임상심리학 과제 참고용 샘플</w:t>
      </w:r>
    </w:p>
    <w:p>
      <w:pPr>
        <w:pStyle w:val="Heading1"/>
        <w:keepNext/>
      </w:pPr>
      <w:r>
        <w:t>참고문헌</w:t>
      </w:r>
    </w:p>
    <w:p>
      <w:pPr>
        <w:pStyle w:val="BodyText"/>
        <w:spacing w:after="160" w:line="324" w:lineRule="auto"/>
        <w:ind w:left="360" w:hanging="360"/>
      </w:pPr>
      <w:r>
        <w:rPr>
          <w:rFonts w:ascii="NanumGothic" w:hAnsi="NanumGothic" w:eastAsia="NanumGothic"/>
          <w:color w:val="000000"/>
          <w:sz w:val="19"/>
        </w:rPr>
        <w:t>Baker, D. B., &amp; Benjamin, L. T., Jr. (2000). The affirmation of the scientist-practitioner: A look back at the Boulder Conference. American Psychologist, 55(2), 241-247.</w:t>
      </w:r>
    </w:p>
    <w:p>
      <w:pPr>
        <w:pStyle w:val="BodyText"/>
        <w:spacing w:after="160" w:line="324" w:lineRule="auto"/>
        <w:ind w:left="360" w:hanging="360"/>
      </w:pPr>
      <w:r>
        <w:rPr>
          <w:rFonts w:ascii="NanumGothic" w:hAnsi="NanumGothic" w:eastAsia="NanumGothic"/>
          <w:color w:val="000000"/>
          <w:sz w:val="19"/>
        </w:rPr>
        <w:t>Benjamin, L. T., Jr. (2005). A history of clinical psychology as a profession in America and a glimpse at its future. Annual Review of Clinical Psychology, 1, 1-30.</w:t>
      </w:r>
    </w:p>
    <w:p>
      <w:pPr>
        <w:pStyle w:val="BodyText"/>
        <w:spacing w:after="160" w:line="324" w:lineRule="auto"/>
        <w:ind w:left="360" w:hanging="360"/>
      </w:pPr>
      <w:r>
        <w:rPr>
          <w:rFonts w:ascii="NanumGothic" w:hAnsi="NanumGothic" w:eastAsia="NanumGothic"/>
          <w:color w:val="000000"/>
          <w:sz w:val="19"/>
        </w:rPr>
        <w:t>Freud, S. (1915). Thoughts for the times on war and death. In J. Strachey (Ed. &amp; Trans.), The standard edition of the complete psychological works of Sigmund Freud (Vol. 14, pp. 273-300). Hogarth Press.</w:t>
      </w:r>
    </w:p>
    <w:p>
      <w:pPr>
        <w:pStyle w:val="BodyText"/>
        <w:spacing w:after="160" w:line="324" w:lineRule="auto"/>
        <w:ind w:left="360" w:hanging="360"/>
      </w:pPr>
      <w:r>
        <w:rPr>
          <w:rFonts w:ascii="NanumGothic" w:hAnsi="NanumGothic" w:eastAsia="NanumGothic"/>
          <w:color w:val="000000"/>
          <w:sz w:val="19"/>
        </w:rPr>
        <w:t>Freud, S. (1920). Beyond the pleasure principle. In J. Strachey (Ed. &amp; Trans.), The standard edition of the complete psychological works of Sigmund Freud (Vol. 18, pp. 7-64). Hogarth Press.</w:t>
      </w:r>
    </w:p>
    <w:p>
      <w:pPr>
        <w:pStyle w:val="BodyText"/>
        <w:spacing w:after="160" w:line="324" w:lineRule="auto"/>
        <w:ind w:left="360" w:hanging="360"/>
      </w:pPr>
      <w:r>
        <w:rPr>
          <w:rFonts w:ascii="NanumGothic" w:hAnsi="NanumGothic" w:eastAsia="NanumGothic"/>
          <w:color w:val="000000"/>
          <w:sz w:val="19"/>
        </w:rPr>
        <w:t>Freud, S. (1923). The ego and the id. In J. Strachey (Ed. &amp; Trans.), The standard edition of the complete psychological works of Sigmund Freud (Vol. 19, pp. 12-66). Hogarth Press.</w:t>
      </w:r>
    </w:p>
    <w:p>
      <w:pPr>
        <w:pStyle w:val="BodyText"/>
        <w:spacing w:after="160" w:line="324" w:lineRule="auto"/>
        <w:ind w:left="360" w:hanging="360"/>
      </w:pPr>
      <w:r>
        <w:rPr>
          <w:rFonts w:ascii="NanumGothic" w:hAnsi="NanumGothic" w:eastAsia="NanumGothic"/>
          <w:color w:val="000000"/>
          <w:sz w:val="19"/>
        </w:rPr>
        <w:t>Herman, J. L. (1992). Trauma and recovery. Basic Books.</w:t>
      </w:r>
    </w:p>
    <w:p>
      <w:pPr>
        <w:pStyle w:val="BodyText"/>
        <w:spacing w:after="160" w:line="324" w:lineRule="auto"/>
        <w:ind w:left="360" w:hanging="360"/>
      </w:pPr>
      <w:r>
        <w:rPr>
          <w:rFonts w:ascii="NanumGothic" w:hAnsi="NanumGothic" w:eastAsia="NanumGothic"/>
          <w:color w:val="000000"/>
          <w:sz w:val="19"/>
        </w:rPr>
        <w:t>Pickren, W. E., &amp; Rutherford, A. (2010). A history of modern psychology in context. Wiley.</w:t>
      </w:r>
    </w:p>
    <w:p>
      <w:pPr>
        <w:pStyle w:val="BodyText"/>
        <w:spacing w:after="160" w:line="324" w:lineRule="auto"/>
        <w:ind w:left="360" w:hanging="360"/>
      </w:pPr>
      <w:r>
        <w:rPr>
          <w:rFonts w:ascii="NanumGothic" w:hAnsi="NanumGothic" w:eastAsia="NanumGothic"/>
          <w:color w:val="000000"/>
          <w:sz w:val="19"/>
        </w:rPr>
        <w:t>Plas, R. (2012). The birth of the psychological war: Psychological testing and the army in World War I. History of Psychology, 15(3), 209-226.</w:t>
      </w:r>
    </w:p>
    <w:p>
      <w:pPr>
        <w:pStyle w:val="BodyText"/>
        <w:spacing w:after="160" w:line="324" w:lineRule="auto"/>
        <w:ind w:left="360" w:hanging="360"/>
      </w:pPr>
      <w:r>
        <w:rPr>
          <w:rFonts w:ascii="NanumGothic" w:hAnsi="NanumGothic" w:eastAsia="NanumGothic"/>
          <w:color w:val="000000"/>
          <w:sz w:val="19"/>
        </w:rPr>
        <w:t>Shephard, B. (2001). A war of nerves: Soldiers and psychiatrists in the twentieth century. Harvard University Press.</w:t>
      </w:r>
    </w:p>
    <w:p>
      <w:r>
        <w:br w:type="page"/>
      </w:r>
    </w:p>
    <w:p/>
    <w:p/>
    <w:p>
      <w:pPr>
        <w:spacing w:after="360"/>
        <w:jc w:val="center"/>
      </w:pPr>
      <w:r>
        <w:rPr>
          <w:rFonts w:ascii="NanumGothic" w:hAnsi="NanumGothic" w:eastAsia="NanumGothic"/>
          <w:b/>
          <w:color w:val="000000"/>
          <w:sz w:val="36"/>
        </w:rPr>
        <w:t>주의사항</w:t>
      </w:r>
    </w:p>
    <w:p>
      <w:pPr>
        <w:keepLines/>
        <w:spacing w:after="100"/>
        <w:jc w:val="center"/>
      </w:pPr>
      <w:r>
        <w:rPr>
          <w:rFonts w:ascii="NanumGothic" w:hAnsi="NanumGothic" w:eastAsia="NanumGothic"/>
          <w:b w:val="0"/>
          <w:color w:val="000000"/>
          <w:sz w:val="22"/>
        </w:rPr>
        <w:t>본 자료는 학점은행제 과제 참고용 샘플입니다.</w:t>
      </w:r>
    </w:p>
    <w:p>
      <w:pPr>
        <w:keepLines/>
        <w:spacing w:after="100"/>
        <w:jc w:val="center"/>
      </w:pPr>
      <w:r>
        <w:rPr>
          <w:rFonts w:ascii="NanumGothic" w:hAnsi="NanumGothic" w:eastAsia="NanumGothic"/>
          <w:b w:val="0"/>
          <w:color w:val="000000"/>
          <w:sz w:val="22"/>
        </w:rPr>
        <w:t>위 학습 자료를 그대로 제출할 경우 모사율(표절률)로 인하여</w:t>
      </w:r>
    </w:p>
    <w:p>
      <w:pPr>
        <w:keepLines/>
        <w:spacing w:after="100"/>
        <w:jc w:val="center"/>
      </w:pPr>
      <w:r>
        <w:rPr>
          <w:rFonts w:ascii="NanumGothic" w:hAnsi="NanumGothic" w:eastAsia="NanumGothic"/>
          <w:b w:val="0"/>
          <w:color w:val="000000"/>
          <w:sz w:val="22"/>
        </w:rPr>
        <w:t>성적 불이익 또는 해당 과목 0점 처리될 수 있습니다.</w:t>
      </w:r>
    </w:p>
    <w:p>
      <w:pPr>
        <w:keepLines/>
        <w:spacing w:after="100"/>
        <w:jc w:val="center"/>
      </w:pPr>
      <w:r>
        <w:rPr>
          <w:rFonts w:ascii="NanumGothic" w:hAnsi="NanumGothic" w:eastAsia="NanumGothic"/>
          <w:b/>
          <w:color w:val="000000"/>
          <w:sz w:val="22"/>
        </w:rPr>
        <w:t>반드시 본인의 언어로 수정·재작성하여 제출하시기 바랍니다.</w:t>
      </w:r>
    </w:p>
    <w:p/>
    <w:p>
      <w:pPr>
        <w:spacing w:after="240"/>
        <w:jc w:val="center"/>
      </w:pPr>
      <w:r>
        <w:rPr>
          <w:rFonts w:ascii="NanumGothic" w:hAnsi="NanumGothic" w:eastAsia="NanumGothic"/>
          <w:b/>
          <w:color w:val="000000"/>
          <w:sz w:val="30"/>
        </w:rPr>
        <w:t>과제 수정이 어려우신가요</w:t>
      </w:r>
    </w:p>
    <w:p>
      <w:pPr>
        <w:spacing w:after="80"/>
        <w:jc w:val="center"/>
      </w:pPr>
      <w:r>
        <w:rPr>
          <w:rFonts w:ascii="NanumGothic" w:hAnsi="NanumGothic" w:eastAsia="NanumGothic"/>
          <w:color w:val="000000"/>
          <w:sz w:val="21"/>
        </w:rPr>
        <w:t>국민원격교육관리센터에서 1:1 과제 수정 도움을 드립니다.</w:t>
      </w:r>
    </w:p>
    <w:p>
      <w:pPr>
        <w:spacing w:after="80"/>
        <w:jc w:val="center"/>
      </w:pPr>
      <w:r>
        <w:rPr>
          <w:rFonts w:ascii="NanumGothic" w:hAnsi="NanumGothic" w:eastAsia="NanumGothic"/>
          <w:color w:val="000000"/>
          <w:sz w:val="21"/>
        </w:rPr>
        <w:t>아래 연락처로 문의해 주세요.</w:t>
      </w:r>
    </w:p>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1872"/>
        <w:gridCol w:w="5472"/>
      </w:tblGrid>
      <w:tr>
        <w:tc>
          <w:tcPr>
            <w:tcW w:type="dxa" w:w="1872"/>
            <w:tcMar>
              <w:top w:w="130" w:type="dxa"/>
              <w:start w:w="140" w:type="dxa"/>
              <w:bottom w:w="130" w:type="dxa"/>
              <w:end w:w="140" w:type="dxa"/>
            </w:tcMar>
            <w:vAlign w:val="center"/>
          </w:tcPr>
          <w:p>
            <w:pPr>
              <w:jc w:val="center"/>
            </w:pPr>
            <w:r>
              <w:rPr>
                <w:rFonts w:ascii="NanumGothic" w:hAnsi="NanumGothic" w:eastAsia="NanumGothic"/>
                <w:b/>
                <w:color w:val="000000"/>
                <w:sz w:val="20"/>
              </w:rPr>
              <w:t>전화</w:t>
            </w:r>
          </w:p>
        </w:tc>
        <w:tc>
          <w:tcPr>
            <w:tcW w:type="dxa" w:w="5472"/>
            <w:tcMar>
              <w:top w:w="130" w:type="dxa"/>
              <w:start w:w="140" w:type="dxa"/>
              <w:bottom w:w="130" w:type="dxa"/>
              <w:end w:w="140" w:type="dxa"/>
            </w:tcMar>
            <w:vAlign w:val="center"/>
          </w:tcPr>
          <w:p>
            <w:r>
              <w:rPr>
                <w:rFonts w:ascii="NanumGothic" w:hAnsi="NanumGothic" w:eastAsia="NanumGothic"/>
                <w:color w:val="000000"/>
                <w:sz w:val="20"/>
              </w:rPr>
              <w:t>050-7878-7044</w:t>
            </w:r>
          </w:p>
        </w:tc>
      </w:tr>
      <w:tr>
        <w:tc>
          <w:tcPr>
            <w:tcW w:type="dxa" w:w="1872"/>
            <w:tcMar>
              <w:top w:w="130" w:type="dxa"/>
              <w:start w:w="140" w:type="dxa"/>
              <w:bottom w:w="130" w:type="dxa"/>
              <w:end w:w="140" w:type="dxa"/>
            </w:tcMar>
            <w:vAlign w:val="center"/>
            <w:shd w:fill="F4F7FA"/>
          </w:tcPr>
          <w:p>
            <w:pPr>
              <w:jc w:val="center"/>
            </w:pPr>
            <w:r>
              <w:rPr>
                <w:rFonts w:ascii="NanumGothic" w:hAnsi="NanumGothic" w:eastAsia="NanumGothic"/>
                <w:b/>
                <w:color w:val="000000"/>
                <w:sz w:val="20"/>
              </w:rPr>
              <w:t>카카오톡</w:t>
            </w:r>
          </w:p>
        </w:tc>
        <w:tc>
          <w:tcPr>
            <w:tcW w:type="dxa" w:w="5472"/>
            <w:tcMar>
              <w:top w:w="130" w:type="dxa"/>
              <w:start w:w="140" w:type="dxa"/>
              <w:bottom w:w="130" w:type="dxa"/>
              <w:end w:w="140" w:type="dxa"/>
            </w:tcMar>
            <w:vAlign w:val="center"/>
            <w:shd w:fill="F4F7FA"/>
          </w:tcPr>
          <w:p>
            <w:r>
              <w:rPr>
                <w:rFonts w:ascii="NanumGothic" w:hAnsi="NanumGothic" w:eastAsia="NanumGothic"/>
                <w:color w:val="000000"/>
                <w:sz w:val="20"/>
              </w:rPr>
              <w:t>@국민원격교육관리센터</w:t>
            </w:r>
          </w:p>
        </w:tc>
      </w:tr>
      <w:tr>
        <w:tc>
          <w:tcPr>
            <w:tcW w:type="dxa" w:w="1872"/>
            <w:tcMar>
              <w:top w:w="130" w:type="dxa"/>
              <w:start w:w="140" w:type="dxa"/>
              <w:bottom w:w="130" w:type="dxa"/>
              <w:end w:w="140" w:type="dxa"/>
            </w:tcMar>
            <w:vAlign w:val="center"/>
          </w:tcPr>
          <w:p>
            <w:pPr>
              <w:jc w:val="center"/>
            </w:pPr>
            <w:r>
              <w:rPr>
                <w:rFonts w:ascii="NanumGothic" w:hAnsi="NanumGothic" w:eastAsia="NanumGothic"/>
                <w:b/>
                <w:color w:val="000000"/>
                <w:sz w:val="20"/>
              </w:rPr>
              <w:t>운영시간</w:t>
            </w:r>
          </w:p>
        </w:tc>
        <w:tc>
          <w:tcPr>
            <w:tcW w:type="dxa" w:w="5472"/>
            <w:tcMar>
              <w:top w:w="130" w:type="dxa"/>
              <w:start w:w="140" w:type="dxa"/>
              <w:bottom w:w="130" w:type="dxa"/>
              <w:end w:w="140" w:type="dxa"/>
            </w:tcMar>
            <w:vAlign w:val="center"/>
          </w:tcPr>
          <w:p>
            <w:r>
              <w:rPr>
                <w:rFonts w:ascii="NanumGothic" w:hAnsi="NanumGothic" w:eastAsia="NanumGothic"/>
                <w:color w:val="000000"/>
                <w:sz w:val="20"/>
              </w:rPr>
              <w:t>평일 10:00-19:00</w:t>
            </w:r>
          </w:p>
        </w:tc>
      </w:tr>
      <w:tr>
        <w:tc>
          <w:tcPr>
            <w:tcW w:type="dxa" w:w="1872"/>
            <w:tcMar>
              <w:top w:w="130" w:type="dxa"/>
              <w:start w:w="140" w:type="dxa"/>
              <w:bottom w:w="130" w:type="dxa"/>
              <w:end w:w="140" w:type="dxa"/>
            </w:tcMar>
            <w:vAlign w:val="center"/>
            <w:shd w:fill="F4F7FA"/>
          </w:tcPr>
          <w:p>
            <w:pPr>
              <w:jc w:val="center"/>
            </w:pPr>
            <w:r>
              <w:rPr>
                <w:rFonts w:ascii="NanumGothic" w:hAnsi="NanumGothic" w:eastAsia="NanumGothic"/>
                <w:b/>
                <w:color w:val="000000"/>
                <w:sz w:val="20"/>
              </w:rPr>
              <w:t>웹사이트</w:t>
            </w:r>
          </w:p>
        </w:tc>
        <w:tc>
          <w:tcPr>
            <w:tcW w:type="dxa" w:w="5472"/>
            <w:tcMar>
              <w:top w:w="130" w:type="dxa"/>
              <w:start w:w="140" w:type="dxa"/>
              <w:bottom w:w="130" w:type="dxa"/>
              <w:end w:w="140" w:type="dxa"/>
            </w:tcMar>
            <w:vAlign w:val="center"/>
            <w:shd w:fill="F4F7FA"/>
          </w:tcPr>
          <w:p>
            <w:r>
              <w:rPr>
                <w:rFonts w:ascii="NanumGothic" w:hAnsi="NanumGothic" w:eastAsia="NanumGothic"/>
                <w:color w:val="000000"/>
                <w:sz w:val="20"/>
              </w:rPr>
              <w:t>korealms.co.kr</w:t>
            </w:r>
          </w:p>
        </w:tc>
      </w:tr>
    </w:tbl>
    <w:sectPr w:rsidR="00FC693F" w:rsidRPr="0006063C" w:rsidSect="00034616">
      <w:pgSz w:w="12240" w:h="15840"/>
      <w:pgMar w:top="1037" w:right="1195" w:bottom="979" w:left="119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5" w:lineRule="auto" w:after="120"/>
    </w:pPr>
    <w:rPr>
      <w:rFonts w:ascii="NanumGothic" w:hAnsi="NanumGothic" w:eastAsia="NanumGothic"/>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200"/>
      <w:outlineLvl w:val="0"/>
    </w:pPr>
    <w:rPr>
      <w:rFonts w:asciiTheme="majorHAnsi" w:eastAsiaTheme="majorEastAsia" w:hAnsiTheme="majorHAnsi" w:cstheme="majorBidi" w:ascii="NanumGothic" w:hAnsi="NanumGothic" w:eastAsia="NanumGothic"/>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160" w:after="120"/>
      <w:outlineLvl w:val="1"/>
    </w:pPr>
    <w:rPr>
      <w:rFonts w:asciiTheme="majorHAnsi" w:eastAsiaTheme="majorEastAsia" w:hAnsiTheme="majorHAnsi" w:cstheme="majorBidi" w:ascii="NanumGothic" w:hAnsi="NanumGothic" w:eastAsia="NanumGothic"/>
      <w:b/>
      <w:bCs/>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80" w:line="240" w:lineRule="auto"/>
      <w:contextualSpacing/>
    </w:pPr>
    <w:rPr>
      <w:rFonts w:asciiTheme="majorHAnsi" w:eastAsiaTheme="majorEastAsia" w:hAnsiTheme="majorHAnsi" w:cstheme="majorBidi" w:ascii="NanumGothic" w:hAnsi="NanumGothic" w:eastAsia="NanumGothic"/>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40" w:line="365" w:lineRule="auto"/>
      <w:jc w:val="both"/>
    </w:pPr>
    <w:rPr>
      <w:rFonts w:ascii="NanumGothic" w:hAnsi="NanumGothic" w:eastAsia="NanumGothic"/>
      <w:color w:val="000000"/>
      <w:sz w:val="21"/>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임상심리학의 발달과 역사적 전환</dc:title>
  <dc:subject>제1차 세계대전과 제2차 세계대전 및 프로이트의 기여</dc:subject>
  <dc:creator/>
  <cp:keywords>임상심리학, 세계대전, 프로이트, 정신분석</cp:keywords>
  <dc:description>generated by python-docx</dc:description>
  <cp:lastModifiedBy/>
  <cp:revision>1</cp:revision>
  <dcterms:created xsi:type="dcterms:W3CDTF">2013-12-23T23:15:00Z</dcterms:created>
  <dcterms:modified xsi:type="dcterms:W3CDTF">2013-12-23T23:15:00Z</dcterms:modified>
  <cp:category/>
</cp:coreProperties>
</file>