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rPr>
          <w:rFonts w:ascii="Noto Sans CJK KR" w:hAnsi="Noto Sans CJK KR" w:eastAsia="Noto Sans CJK KR"/>
          <w:b/>
          <w:color w:val="505050"/>
          <w:sz w:val="22"/>
        </w:rPr>
        <w:t>위더스평생교육원</w:t>
      </w:r>
    </w:p>
    <w:p>
      <w:pPr>
        <w:spacing w:before="240" w:after="200"/>
        <w:jc w:val="center"/>
      </w:pPr>
      <w:r>
        <w:rPr>
          <w:rFonts w:ascii="Noto Sans CJK KR" w:hAnsi="Noto Sans CJK KR" w:eastAsia="Noto Sans CJK KR"/>
          <w:b/>
          <w:color w:val="18324B"/>
          <w:sz w:val="50"/>
        </w:rPr>
        <w:t>마케팅원론 과제</w:t>
      </w:r>
    </w:p>
    <w:p>
      <w:pPr>
        <w:spacing w:before="240" w:after="400"/>
        <w:jc w:val="center"/>
      </w:pPr>
      <w:r>
        <w:rPr>
          <w:rFonts w:ascii="Noto Serif CJK KR" w:hAnsi="Noto Serif CJK KR" w:eastAsia="Noto Serif CJK KR"/>
          <w:b/>
          <w:sz w:val="32"/>
        </w:rPr>
        <w:t>삼성전자 주요 제품라인의 BCG 매트릭스 분석과 향후 전략 수립</w:t>
      </w:r>
    </w:p>
    <w:tbl>
      <w:tblPr>
        <w:tblW w:type="auto" w:w="0"/>
        <w:jc w:val="center"/>
        <w:tblLayout w:type="fixed"/>
        <w:tblLook w:firstColumn="1" w:firstRow="1" w:lastColumn="0" w:lastRow="0" w:noHBand="0" w:noVBand="1" w:val="04A0"/>
      </w:tblPr>
      <w:tblGrid>
        <w:gridCol w:w="1984"/>
        <w:gridCol w:w="6520"/>
      </w:tblGrid>
      <w:tr>
        <w:tc>
          <w:tcPr>
            <w:tcW w:type="dxa" w:w="4873"/>
            <w:shd w:fill="EAF0F5"/>
            <w:vAlign w:val="center"/>
            <w:tcMar>
              <w:top w:w="130" w:type="dxa"/>
              <w:start w:w="150" w:type="dxa"/>
              <w:bottom w:w="130" w:type="dxa"/>
              <w:end w:w="150" w:type="dxa"/>
            </w:tcMar>
          </w:tcPr>
          <w:p>
            <w:pPr>
              <w:jc w:val="center"/>
            </w:pPr>
            <w:r>
              <w:rPr>
                <w:rFonts w:ascii="Noto Sans CJK KR" w:hAnsi="Noto Sans CJK KR" w:eastAsia="Noto Sans CJK KR"/>
                <w:b/>
                <w:color w:val="23374B"/>
                <w:sz w:val="20"/>
              </w:rPr>
              <w:t>과목명</w:t>
            </w:r>
          </w:p>
        </w:tc>
        <w:tc>
          <w:tcPr>
            <w:tcW w:type="dxa" w:w="4873"/>
            <w:vAlign w:val="center"/>
            <w:tcMar>
              <w:top w:w="130" w:type="dxa"/>
              <w:start w:w="150" w:type="dxa"/>
              <w:bottom w:w="130" w:type="dxa"/>
              <w:end w:w="150" w:type="dxa"/>
            </w:tcMar>
          </w:tcPr>
          <w:p>
            <w:r>
              <w:rPr>
                <w:rFonts w:ascii="Noto Serif CJK KR" w:hAnsi="Noto Serif CJK KR" w:eastAsia="Noto Serif CJK KR"/>
                <w:sz w:val="19"/>
              </w:rPr>
              <w:t>마케팅원론</w:t>
            </w:r>
          </w:p>
        </w:tc>
      </w:tr>
      <w:tr>
        <w:tc>
          <w:tcPr>
            <w:tcW w:type="dxa" w:w="4873"/>
            <w:shd w:fill="EAF0F5"/>
            <w:vAlign w:val="center"/>
            <w:tcMar>
              <w:top w:w="130" w:type="dxa"/>
              <w:start w:w="150" w:type="dxa"/>
              <w:bottom w:w="130" w:type="dxa"/>
              <w:end w:w="150" w:type="dxa"/>
            </w:tcMar>
          </w:tcPr>
          <w:p>
            <w:pPr>
              <w:jc w:val="center"/>
            </w:pPr>
            <w:r>
              <w:rPr>
                <w:rFonts w:ascii="Noto Sans CJK KR" w:hAnsi="Noto Sans CJK KR" w:eastAsia="Noto Sans CJK KR"/>
                <w:b/>
                <w:color w:val="23374B"/>
                <w:sz w:val="20"/>
              </w:rPr>
              <w:t>과제 주제</w:t>
            </w:r>
          </w:p>
        </w:tc>
        <w:tc>
          <w:tcPr>
            <w:tcW w:type="dxa" w:w="4873"/>
            <w:vAlign w:val="center"/>
            <w:tcMar>
              <w:top w:w="130" w:type="dxa"/>
              <w:start w:w="150" w:type="dxa"/>
              <w:bottom w:w="130" w:type="dxa"/>
              <w:end w:w="150" w:type="dxa"/>
            </w:tcMar>
          </w:tcPr>
          <w:p>
            <w:r>
              <w:rPr>
                <w:rFonts w:ascii="Noto Serif CJK KR" w:hAnsi="Noto Serif CJK KR" w:eastAsia="Noto Serif CJK KR"/>
                <w:sz w:val="19"/>
              </w:rPr>
              <w:t>특정 기업의 사업부 또는 제품라인을 BCG 매트릭스로 분석하고 향후 전략을 수립</w:t>
            </w:r>
          </w:p>
        </w:tc>
      </w:tr>
      <w:tr>
        <w:tc>
          <w:tcPr>
            <w:tcW w:type="dxa" w:w="4873"/>
            <w:shd w:fill="EAF0F5"/>
            <w:vAlign w:val="center"/>
            <w:tcMar>
              <w:top w:w="130" w:type="dxa"/>
              <w:start w:w="150" w:type="dxa"/>
              <w:bottom w:w="130" w:type="dxa"/>
              <w:end w:w="150" w:type="dxa"/>
            </w:tcMar>
          </w:tcPr>
          <w:p>
            <w:pPr>
              <w:jc w:val="center"/>
            </w:pPr>
            <w:r>
              <w:rPr>
                <w:rFonts w:ascii="Noto Sans CJK KR" w:hAnsi="Noto Sans CJK KR" w:eastAsia="Noto Sans CJK KR"/>
                <w:b/>
                <w:color w:val="23374B"/>
                <w:sz w:val="20"/>
              </w:rPr>
              <w:t>제출일</w:t>
            </w:r>
          </w:p>
        </w:tc>
        <w:tc>
          <w:tcPr>
            <w:tcW w:type="dxa" w:w="4873"/>
            <w:vAlign w:val="center"/>
            <w:tcMar>
              <w:top w:w="130" w:type="dxa"/>
              <w:start w:w="150" w:type="dxa"/>
              <w:bottom w:w="130" w:type="dxa"/>
              <w:end w:w="150" w:type="dxa"/>
            </w:tcMar>
          </w:tcPr>
          <w:p>
            <w:r>
              <w:rPr>
                <w:rFonts w:ascii="Noto Serif CJK KR" w:hAnsi="Noto Serif CJK KR" w:eastAsia="Noto Serif CJK KR"/>
                <w:sz w:val="19"/>
              </w:rPr>
              <w:t>________________</w:t>
            </w:r>
          </w:p>
        </w:tc>
      </w:tr>
      <w:tr>
        <w:tc>
          <w:tcPr>
            <w:tcW w:type="dxa" w:w="4873"/>
            <w:shd w:fill="EAF0F5"/>
            <w:vAlign w:val="center"/>
            <w:tcMar>
              <w:top w:w="130" w:type="dxa"/>
              <w:start w:w="150" w:type="dxa"/>
              <w:bottom w:w="130" w:type="dxa"/>
              <w:end w:w="150" w:type="dxa"/>
            </w:tcMar>
          </w:tcPr>
          <w:p>
            <w:pPr>
              <w:jc w:val="center"/>
            </w:pPr>
            <w:r>
              <w:rPr>
                <w:rFonts w:ascii="Noto Sans CJK KR" w:hAnsi="Noto Sans CJK KR" w:eastAsia="Noto Sans CJK KR"/>
                <w:b/>
                <w:color w:val="23374B"/>
                <w:sz w:val="20"/>
              </w:rPr>
              <w:t>제출자</w:t>
            </w:r>
          </w:p>
        </w:tc>
        <w:tc>
          <w:tcPr>
            <w:tcW w:type="dxa" w:w="4873"/>
            <w:vAlign w:val="center"/>
            <w:tcMar>
              <w:top w:w="130" w:type="dxa"/>
              <w:start w:w="150" w:type="dxa"/>
              <w:bottom w:w="130" w:type="dxa"/>
              <w:end w:w="150" w:type="dxa"/>
            </w:tcMar>
          </w:tcPr>
          <w:p>
            <w:r>
              <w:rPr>
                <w:rFonts w:ascii="Noto Serif CJK KR" w:hAnsi="Noto Serif CJK KR" w:eastAsia="Noto Serif CJK KR"/>
                <w:sz w:val="19"/>
              </w:rPr>
              <w:t>________________</w:t>
            </w:r>
          </w:p>
        </w:tc>
      </w:tr>
    </w:tbl>
    <w:p>
      <w:pPr>
        <w:spacing w:before="480" w:after="160"/>
      </w:pPr>
      <w:r>
        <w:rPr>
          <w:rFonts w:ascii="Noto Sans CJK KR" w:hAnsi="Noto Sans CJK KR" w:eastAsia="Noto Sans CJK KR"/>
          <w:b/>
          <w:color w:val="23374B"/>
          <w:sz w:val="26"/>
        </w:rPr>
        <w:t>목차</w:t>
      </w:r>
    </w:p>
    <w:p>
      <w:pPr>
        <w:spacing w:after="40"/>
        <w:ind w:left="454"/>
      </w:pPr>
      <w:r>
        <w:rPr>
          <w:rFonts w:ascii="Noto Serif CJK KR" w:hAnsi="Noto Serif CJK KR" w:eastAsia="Noto Serif CJK KR"/>
          <w:sz w:val="20"/>
        </w:rPr>
        <w:t>Ⅰ. 서론</w:t>
      </w:r>
    </w:p>
    <w:p>
      <w:pPr>
        <w:spacing w:after="40"/>
        <w:ind w:left="454"/>
      </w:pPr>
      <w:r>
        <w:rPr>
          <w:rFonts w:ascii="Noto Serif CJK KR" w:hAnsi="Noto Serif CJK KR" w:eastAsia="Noto Serif CJK KR"/>
          <w:sz w:val="20"/>
        </w:rPr>
        <w:t>Ⅱ. 본론</w:t>
      </w:r>
    </w:p>
    <w:p>
      <w:pPr>
        <w:spacing w:after="40"/>
        <w:ind w:left="454"/>
      </w:pPr>
      <w:r>
        <w:rPr>
          <w:rFonts w:ascii="Noto Serif CJK KR" w:hAnsi="Noto Serif CJK KR" w:eastAsia="Noto Serif CJK KR"/>
          <w:sz w:val="20"/>
        </w:rPr>
        <w:t xml:space="preserve">  1. BCG 매트릭스의 개념과 분석 기준</w:t>
      </w:r>
    </w:p>
    <w:p>
      <w:pPr>
        <w:spacing w:after="40"/>
        <w:ind w:left="454"/>
      </w:pPr>
      <w:r>
        <w:rPr>
          <w:rFonts w:ascii="Noto Serif CJK KR" w:hAnsi="Noto Serif CJK KR" w:eastAsia="Noto Serif CJK KR"/>
          <w:sz w:val="20"/>
        </w:rPr>
        <w:t xml:space="preserve">  2. 삼성전자 제품 포트폴리오 및 시장 자료</w:t>
      </w:r>
    </w:p>
    <w:p>
      <w:pPr>
        <w:spacing w:after="40"/>
        <w:ind w:left="454"/>
      </w:pPr>
      <w:r>
        <w:rPr>
          <w:rFonts w:ascii="Noto Serif CJK KR" w:hAnsi="Noto Serif CJK KR" w:eastAsia="Noto Serif CJK KR"/>
          <w:sz w:val="20"/>
        </w:rPr>
        <w:t xml:space="preserve">  3. BCG 매트릭스 배치와 제품라인별 분석</w:t>
      </w:r>
    </w:p>
    <w:p>
      <w:pPr>
        <w:spacing w:after="40"/>
        <w:ind w:left="454"/>
      </w:pPr>
      <w:r>
        <w:rPr>
          <w:rFonts w:ascii="Noto Serif CJK KR" w:hAnsi="Noto Serif CJK KR" w:eastAsia="Noto Serif CJK KR"/>
          <w:sz w:val="20"/>
        </w:rPr>
        <w:t xml:space="preserve">  4. 향후 전략 수립</w:t>
      </w:r>
    </w:p>
    <w:p>
      <w:pPr>
        <w:spacing w:after="40"/>
        <w:ind w:left="454"/>
      </w:pPr>
      <w:r>
        <w:rPr>
          <w:rFonts w:ascii="Noto Serif CJK KR" w:hAnsi="Noto Serif CJK KR" w:eastAsia="Noto Serif CJK KR"/>
          <w:sz w:val="20"/>
        </w:rPr>
        <w:t>Ⅲ. 결론</w:t>
      </w:r>
    </w:p>
    <w:p>
      <w:pPr>
        <w:spacing w:after="40"/>
        <w:ind w:left="454"/>
      </w:pPr>
      <w:r>
        <w:rPr>
          <w:rFonts w:ascii="Noto Serif CJK KR" w:hAnsi="Noto Serif CJK KR" w:eastAsia="Noto Serif CJK KR"/>
          <w:sz w:val="20"/>
        </w:rPr>
        <w:t>Ⅳ. 참고문헌</w:t>
      </w:r>
    </w:p>
    <w:p>
      <w:r>
        <w:br w:type="page"/>
      </w:r>
    </w:p>
    <w:p>
      <w:pPr>
        <w:spacing w:before="40" w:after="160"/>
      </w:pPr>
      <w:r>
        <w:rPr>
          <w:rFonts w:ascii="Noto Sans CJK KR" w:hAnsi="Noto Sans CJK KR" w:eastAsia="Noto Sans CJK KR"/>
          <w:b/>
          <w:color w:val="23374B"/>
          <w:sz w:val="30"/>
        </w:rPr>
        <w:t>Ⅰ. 서론</w:t>
      </w:r>
    </w:p>
    <w:p>
      <w:pPr>
        <w:keepLines w:val="0"/>
        <w:spacing w:line="396" w:lineRule="auto" w:after="120"/>
        <w:ind w:firstLine="397"/>
        <w:jc w:val="both"/>
      </w:pPr>
      <w:r>
        <w:rPr>
          <w:rFonts w:ascii="Noto Serif CJK KR" w:hAnsi="Noto Serif CJK KR" w:eastAsia="Noto Serif CJK KR"/>
          <w:sz w:val="21"/>
        </w:rPr>
        <w:t>기업은 한정된 자원을 여러 사업과 제품에 배분해야 한다. 특히 기술 변화가 빠르고 경쟁자가 많은 전자산업에서는 모든 제품라인에 동일한 수준으로 투자하는 것이 효율적이지 않다. 어떤 제품에는 성장을 위한 공격적 투자가 필요하지만, 다른 제품은 안정적으로 현금을 창출하도록 관리해야 하며, 장기적으로 경쟁우위를 회복하기 어려운 제품은 축소 또는 철수까지 검토해야 한다. 이러한 자원배분 문제를 간결하게 구조화하는 대표적인 포트폴리오 분석 도구가 BCG 매트릭스이다.</w:t>
      </w:r>
    </w:p>
    <w:p>
      <w:pPr>
        <w:keepLines w:val="0"/>
        <w:spacing w:line="396" w:lineRule="auto" w:after="120"/>
        <w:ind w:firstLine="397"/>
        <w:jc w:val="both"/>
      </w:pPr>
      <w:r>
        <w:rPr>
          <w:rFonts w:ascii="Noto Serif CJK KR" w:hAnsi="Noto Serif CJK KR" w:eastAsia="Noto Serif CJK KR"/>
          <w:sz w:val="21"/>
        </w:rPr>
        <w:t>본 과제에서는 삼성전자를 분석 기업으로 선정하고, 공개된 2025~2026년 시장 자료를 바탕으로 주요 제품라인을 BCG 매트릭스에 배치한다. 구체적으로 폴더블 스마트폰, 스마트폰 전체 제품군, TV, HBM(고대역폭 메모리)을 중심으로 시장성장률과 상대적 시장지위를 비교한다. 또한 분석 결과를 단순한 사분면 분류에 그치지 않고, 각 제품라인에 필요한 투자·수익회수·시장점유율 확대 전략을 제시하고자 한다. 다만 외부 공개자료만으로 사업별 정확한 현금흐름과 내부 수익성을 모두 확인하기 어렵기 때문에, 본 분석은 시장점유율과 성장성에 초점을 둔 전략적 추정임을 전제로 한다.</w:t>
      </w:r>
    </w:p>
    <w:p>
      <w:pPr>
        <w:spacing w:before="40" w:after="160"/>
      </w:pPr>
      <w:r>
        <w:rPr>
          <w:rFonts w:ascii="Noto Sans CJK KR" w:hAnsi="Noto Sans CJK KR" w:eastAsia="Noto Sans CJK KR"/>
          <w:b/>
          <w:color w:val="23374B"/>
          <w:sz w:val="30"/>
        </w:rPr>
        <w:t>Ⅱ. 본론</w:t>
      </w:r>
    </w:p>
    <w:p>
      <w:pPr>
        <w:spacing w:before="40" w:after="100"/>
      </w:pPr>
      <w:r>
        <w:rPr>
          <w:rFonts w:ascii="Noto Sans CJK KR" w:hAnsi="Noto Sans CJK KR" w:eastAsia="Noto Sans CJK KR"/>
          <w:b/>
          <w:color w:val="23374B"/>
          <w:sz w:val="24"/>
        </w:rPr>
        <w:t>1. BCG 매트릭스의 개념과 분석 기준</w:t>
      </w:r>
    </w:p>
    <w:p>
      <w:pPr>
        <w:keepLines w:val="0"/>
        <w:spacing w:line="396" w:lineRule="auto" w:after="120"/>
        <w:ind w:firstLine="397"/>
        <w:jc w:val="both"/>
      </w:pPr>
      <w:r>
        <w:rPr>
          <w:rFonts w:ascii="Noto Serif CJK KR" w:hAnsi="Noto Serif CJK KR" w:eastAsia="Noto Serif CJK KR"/>
          <w:sz w:val="21"/>
        </w:rPr>
        <w:t>BCG 매트릭스는 보스턴컨설팅그룹이 개발한 성장-점유율 포트폴리오 분석법으로, 수직축에는 시장성장률을, 수평축에는 상대적 시장점유율을 두어 사업 또는 제품을 네 유형으로 구분한다. 시장성장률은 해당 시장이 얼마나 빠르게 확대되는지를 보여 주고, 상대적 시장점유율은 주요 경쟁자에 비해 기업이 어느 정도의 경쟁지위를 확보하고 있는지를 나타낸다. 일반적으로 높은 시장성장률은 추가 자금 수요가 크다는 의미를 가지며, 높은 시장점유율은 규모의 경제, 브랜드 인지도, 유통력 등의 축적을 통해 현금창출 가능성이 높다는 의미를 가진다.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Star(별): 고성장 시장에서 높은 점유율을 확보한 사업이다. 성장을 유지하기 위한 지속적 투자가 필요하며, 시장이 성숙하면 Cash Cow로 전환될 가능성이 있다.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Cash Cow(현금젖소): 저성장 시장에서 높은 점유율을 가진 사업이다. 대규모 신규투자보다 수익성과 현금흐름을 관리하면서 다른 성장사업의 투자재원을 제공하는 역할이 중요하다.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Question Mark(물음표): 고성장 시장이지만 상대적 점유율이 낮은 사업이다. 선택적 집중을 통해 Star로 육성할지, 경쟁력이 부족하면 철수할지를 판단해야 한다.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Dog(개): 저성장·저점유 사업이다. 수익성 개선 가능성이 낮다면 축소, 매각, 철수 등 정리 전략을 검토한다. 다만 기업의 핵심 생태계를 보완하는 전략적 제품은 단순히 점유율만으로 철수 여부를 판단해서는 안 된다.</w:t>
      </w:r>
    </w:p>
    <w:p>
      <w:pPr>
        <w:spacing w:before="40" w:after="140"/>
      </w:pPr>
      <w:r>
        <w:rPr>
          <w:rFonts w:ascii="Noto Sans CJK KR" w:hAnsi="Noto Sans CJK KR" w:eastAsia="Noto Sans CJK KR"/>
          <w:b w:val="0"/>
          <w:color w:val="5A5A5A"/>
          <w:sz w:val="17"/>
        </w:rPr>
        <w:t>※ BCG 매트릭스는 복잡한 현실을 단순화한 분석도구이므로, 실제 전략수립에서는 수익성, 기술전환 속도, 브랜드 시너지, 공급망 위험 등을 함께 고려해야 한다.</w:t>
      </w:r>
    </w:p>
    <w:p>
      <w:pPr>
        <w:spacing w:before="40" w:after="100"/>
      </w:pPr>
      <w:r>
        <w:rPr>
          <w:rFonts w:ascii="Noto Sans CJK KR" w:hAnsi="Noto Sans CJK KR" w:eastAsia="Noto Sans CJK KR"/>
          <w:b/>
          <w:color w:val="23374B"/>
          <w:sz w:val="24"/>
        </w:rPr>
        <w:t>2. 삼성전자 제품 포트폴리오 및 시장 자료</w:t>
      </w:r>
    </w:p>
    <w:p>
      <w:pPr>
        <w:keepLines w:val="0"/>
        <w:spacing w:line="396" w:lineRule="auto" w:after="120"/>
        <w:ind w:firstLine="397"/>
        <w:jc w:val="both"/>
      </w:pPr>
      <w:r>
        <w:rPr>
          <w:rFonts w:ascii="Noto Serif CJK KR" w:hAnsi="Noto Serif CJK KR" w:eastAsia="Noto Serif CJK KR"/>
          <w:sz w:val="21"/>
        </w:rPr>
        <w:t>삼성전자는 스마트폰·TV·가전 등을 포함하는 완제품 사업과 반도체를 중심으로 하는 부품 사업을 동시에 보유하고 있어 BCG 분석에 적합한 다각화 기업이다. 최근 시장은 인공지능 확산으로 메모리 수요가 급증하는 영역과, 보급률이 이미 높은 스마트폰·TV처럼 성숙 단계에 진입한 영역이 공존한다. 따라서 동일 기업 내부에서도 제품별로 성장률과 경쟁지위가 크게 다르며, 포트폴리오별로 다른 전략이 요구된다.</w:t>
      </w:r>
    </w:p>
    <w:tbl>
      <w:tblPr>
        <w:tblW w:type="auto" w:w="0"/>
        <w:jc w:val="center"/>
        <w:tblLayout w:type="fixed"/>
        <w:tblLook w:firstColumn="1" w:firstRow="1" w:lastColumn="0" w:lastRow="0" w:noHBand="0" w:noVBand="1" w:val="04A0"/>
      </w:tblPr>
      <w:tblGrid>
        <w:gridCol w:w="2436"/>
        <w:gridCol w:w="2436"/>
        <w:gridCol w:w="2436"/>
        <w:gridCol w:w="2436"/>
      </w:tblGrid>
      <w:tr>
        <w:tc>
          <w:tcPr>
            <w:tcW w:type="dxa" w:w="2211"/>
            <w:shd w:fill="DCE6EF"/>
            <w:tcMar>
              <w:top w:w="100" w:type="dxa"/>
              <w:start w:w="90" w:type="dxa"/>
              <w:bottom w:w="100" w:type="dxa"/>
              <w:end w:w="90" w:type="dxa"/>
            </w:tcMar>
          </w:tcPr>
          <w:p>
            <w:pPr>
              <w:jc w:val="center"/>
            </w:pPr>
            <w:r>
              <w:rPr>
                <w:rFonts w:ascii="Noto Sans CJK KR" w:hAnsi="Noto Sans CJK KR" w:eastAsia="Noto Sans CJK KR"/>
                <w:b/>
                <w:color w:val="1E3246"/>
                <w:sz w:val="18"/>
              </w:rPr>
              <w:t>제품라인</w:t>
            </w:r>
          </w:p>
        </w:tc>
        <w:tc>
          <w:tcPr>
            <w:tcW w:type="dxa" w:w="2211"/>
            <w:shd w:fill="DCE6EF"/>
            <w:tcMar>
              <w:top w:w="100" w:type="dxa"/>
              <w:start w:w="90" w:type="dxa"/>
              <w:bottom w:w="100" w:type="dxa"/>
              <w:end w:w="90" w:type="dxa"/>
            </w:tcMar>
          </w:tcPr>
          <w:p>
            <w:pPr>
              <w:jc w:val="center"/>
            </w:pPr>
            <w:r>
              <w:rPr>
                <w:rFonts w:ascii="Noto Sans CJK KR" w:hAnsi="Noto Sans CJK KR" w:eastAsia="Noto Sans CJK KR"/>
                <w:b/>
                <w:color w:val="1E3246"/>
                <w:sz w:val="18"/>
              </w:rPr>
              <w:t>시장성장성 지표</w:t>
            </w:r>
          </w:p>
        </w:tc>
        <w:tc>
          <w:tcPr>
            <w:tcW w:type="dxa" w:w="2948"/>
            <w:shd w:fill="DCE6EF"/>
            <w:tcMar>
              <w:top w:w="100" w:type="dxa"/>
              <w:start w:w="90" w:type="dxa"/>
              <w:bottom w:w="100" w:type="dxa"/>
              <w:end w:w="90" w:type="dxa"/>
            </w:tcMar>
          </w:tcPr>
          <w:p>
            <w:pPr>
              <w:jc w:val="center"/>
            </w:pPr>
            <w:r>
              <w:rPr>
                <w:rFonts w:ascii="Noto Sans CJK KR" w:hAnsi="Noto Sans CJK KR" w:eastAsia="Noto Sans CJK KR"/>
                <w:b/>
                <w:color w:val="1E3246"/>
                <w:sz w:val="18"/>
              </w:rPr>
              <w:t>삼성전자 경쟁지위</w:t>
            </w:r>
          </w:p>
        </w:tc>
        <w:tc>
          <w:tcPr>
            <w:tcW w:type="dxa" w:w="1984"/>
            <w:shd w:fill="DCE6EF"/>
            <w:tcMar>
              <w:top w:w="100" w:type="dxa"/>
              <w:start w:w="90" w:type="dxa"/>
              <w:bottom w:w="100" w:type="dxa"/>
              <w:end w:w="90" w:type="dxa"/>
            </w:tcMar>
          </w:tcPr>
          <w:p>
            <w:pPr>
              <w:jc w:val="center"/>
            </w:pPr>
            <w:r>
              <w:rPr>
                <w:rFonts w:ascii="Noto Sans CJK KR" w:hAnsi="Noto Sans CJK KR" w:eastAsia="Noto Sans CJK KR"/>
                <w:b/>
                <w:color w:val="1E3246"/>
                <w:sz w:val="18"/>
              </w:rPr>
              <w:t>BCG 판단</w:t>
            </w:r>
          </w:p>
        </w:tc>
      </w:tr>
      <w:tr>
        <w:tc>
          <w:tcPr>
            <w:tcW w:type="dxa" w:w="2211"/>
            <w:tcMar>
              <w:top w:w="90" w:type="dxa"/>
              <w:start w:w="85" w:type="dxa"/>
              <w:bottom w:w="90" w:type="dxa"/>
              <w:end w:w="85" w:type="dxa"/>
            </w:tcMar>
            <w:vAlign w:val="center"/>
          </w:tcPr>
          <w:p>
            <w:pPr>
              <w:jc w:val="center"/>
            </w:pPr>
            <w:r>
              <w:rPr>
                <w:rFonts w:ascii="Noto Serif CJK KR" w:hAnsi="Noto Serif CJK KR" w:eastAsia="Noto Serif CJK KR"/>
                <w:b w:val="0"/>
                <w:sz w:val="17"/>
              </w:rPr>
              <w:t>폴더블 스마트폰</w:t>
            </w:r>
          </w:p>
        </w:tc>
        <w:tc>
          <w:tcPr>
            <w:tcW w:type="dxa" w:w="2211"/>
            <w:tcMar>
              <w:top w:w="90" w:type="dxa"/>
              <w:start w:w="85" w:type="dxa"/>
              <w:bottom w:w="90" w:type="dxa"/>
              <w:end w:w="85" w:type="dxa"/>
            </w:tcMar>
            <w:vAlign w:val="center"/>
          </w:tcPr>
          <w:p>
            <w:pPr>
              <w:jc w:val="left"/>
            </w:pPr>
            <w:r>
              <w:rPr>
                <w:rFonts w:ascii="Noto Serif CJK KR" w:hAnsi="Noto Serif CJK KR" w:eastAsia="Noto Serif CJK KR"/>
                <w:b w:val="0"/>
                <w:sz w:val="17"/>
              </w:rPr>
              <w:t>2026년 글로벌 출하량 +21% 전망</w:t>
            </w:r>
          </w:p>
        </w:tc>
        <w:tc>
          <w:tcPr>
            <w:tcW w:type="dxa" w:w="2948"/>
            <w:tcMar>
              <w:top w:w="90" w:type="dxa"/>
              <w:start w:w="85" w:type="dxa"/>
              <w:bottom w:w="90" w:type="dxa"/>
              <w:end w:w="85" w:type="dxa"/>
            </w:tcMar>
            <w:vAlign w:val="center"/>
          </w:tcPr>
          <w:p>
            <w:pPr>
              <w:jc w:val="left"/>
            </w:pPr>
            <w:r>
              <w:rPr>
                <w:rFonts w:ascii="Noto Serif CJK KR" w:hAnsi="Noto Serif CJK KR" w:eastAsia="Noto Serif CJK KR"/>
                <w:b w:val="0"/>
                <w:sz w:val="17"/>
              </w:rPr>
              <w:t>2026년 삼성 32%로 1위 전망</w:t>
            </w:r>
          </w:p>
        </w:tc>
        <w:tc>
          <w:tcPr>
            <w:tcW w:type="dxa" w:w="1984"/>
            <w:tcMar>
              <w:top w:w="90" w:type="dxa"/>
              <w:start w:w="85" w:type="dxa"/>
              <w:bottom w:w="90" w:type="dxa"/>
              <w:end w:w="85" w:type="dxa"/>
            </w:tcMar>
            <w:vAlign w:val="center"/>
          </w:tcPr>
          <w:p>
            <w:pPr>
              <w:jc w:val="center"/>
            </w:pPr>
            <w:r>
              <w:rPr>
                <w:rFonts w:ascii="Noto Serif CJK KR" w:hAnsi="Noto Serif CJK KR" w:eastAsia="Noto Serif CJK KR"/>
                <w:b/>
                <w:sz w:val="17"/>
              </w:rPr>
              <w:t>Star</w:t>
            </w:r>
          </w:p>
        </w:tc>
      </w:tr>
      <w:tr>
        <w:tc>
          <w:tcPr>
            <w:tcW w:type="dxa" w:w="2211"/>
            <w:tcMar>
              <w:top w:w="90" w:type="dxa"/>
              <w:start w:w="85" w:type="dxa"/>
              <w:bottom w:w="90" w:type="dxa"/>
              <w:end w:w="85" w:type="dxa"/>
            </w:tcMar>
            <w:vAlign w:val="center"/>
          </w:tcPr>
          <w:p>
            <w:pPr>
              <w:jc w:val="center"/>
            </w:pPr>
            <w:r>
              <w:rPr>
                <w:rFonts w:ascii="Noto Serif CJK KR" w:hAnsi="Noto Serif CJK KR" w:eastAsia="Noto Serif CJK KR"/>
                <w:b w:val="0"/>
                <w:sz w:val="17"/>
              </w:rPr>
              <w:t>TV</w:t>
            </w:r>
          </w:p>
        </w:tc>
        <w:tc>
          <w:tcPr>
            <w:tcW w:type="dxa" w:w="2211"/>
            <w:tcMar>
              <w:top w:w="90" w:type="dxa"/>
              <w:start w:w="85" w:type="dxa"/>
              <w:bottom w:w="90" w:type="dxa"/>
              <w:end w:w="85" w:type="dxa"/>
            </w:tcMar>
            <w:vAlign w:val="center"/>
          </w:tcPr>
          <w:p>
            <w:pPr>
              <w:jc w:val="left"/>
            </w:pPr>
            <w:r>
              <w:rPr>
                <w:rFonts w:ascii="Noto Serif CJK KR" w:hAnsi="Noto Serif CJK KR" w:eastAsia="Noto Serif CJK KR"/>
                <w:b w:val="0"/>
                <w:sz w:val="17"/>
              </w:rPr>
              <w:t>2025년 시장 출하량 -0.1% 전망, 성숙시장</w:t>
            </w:r>
          </w:p>
        </w:tc>
        <w:tc>
          <w:tcPr>
            <w:tcW w:type="dxa" w:w="2948"/>
            <w:tcMar>
              <w:top w:w="90" w:type="dxa"/>
              <w:start w:w="85" w:type="dxa"/>
              <w:bottom w:w="90" w:type="dxa"/>
              <w:end w:w="85" w:type="dxa"/>
            </w:tcMar>
            <w:vAlign w:val="center"/>
          </w:tcPr>
          <w:p>
            <w:pPr>
              <w:jc w:val="left"/>
            </w:pPr>
            <w:r>
              <w:rPr>
                <w:rFonts w:ascii="Noto Serif CJK KR" w:hAnsi="Noto Serif CJK KR" w:eastAsia="Noto Serif CJK KR"/>
                <w:b w:val="0"/>
                <w:sz w:val="17"/>
              </w:rPr>
              <w:t>2025년 매출기준 29.1%, 20년 연속 1위</w:t>
            </w:r>
          </w:p>
        </w:tc>
        <w:tc>
          <w:tcPr>
            <w:tcW w:type="dxa" w:w="1984"/>
            <w:tcMar>
              <w:top w:w="90" w:type="dxa"/>
              <w:start w:w="85" w:type="dxa"/>
              <w:bottom w:w="90" w:type="dxa"/>
              <w:end w:w="85" w:type="dxa"/>
            </w:tcMar>
            <w:vAlign w:val="center"/>
          </w:tcPr>
          <w:p>
            <w:pPr>
              <w:jc w:val="center"/>
            </w:pPr>
            <w:r>
              <w:rPr>
                <w:rFonts w:ascii="Noto Serif CJK KR" w:hAnsi="Noto Serif CJK KR" w:eastAsia="Noto Serif CJK KR"/>
                <w:b/>
                <w:sz w:val="17"/>
              </w:rPr>
              <w:t>Cash Cow</w:t>
            </w:r>
          </w:p>
        </w:tc>
      </w:tr>
      <w:tr>
        <w:tc>
          <w:tcPr>
            <w:tcW w:type="dxa" w:w="2211"/>
            <w:tcMar>
              <w:top w:w="90" w:type="dxa"/>
              <w:start w:w="85" w:type="dxa"/>
              <w:bottom w:w="90" w:type="dxa"/>
              <w:end w:w="85" w:type="dxa"/>
            </w:tcMar>
            <w:vAlign w:val="center"/>
          </w:tcPr>
          <w:p>
            <w:pPr>
              <w:jc w:val="center"/>
            </w:pPr>
            <w:r>
              <w:rPr>
                <w:rFonts w:ascii="Noto Serif CJK KR" w:hAnsi="Noto Serif CJK KR" w:eastAsia="Noto Serif CJK KR"/>
                <w:b w:val="0"/>
                <w:sz w:val="17"/>
              </w:rPr>
              <w:t>스마트폰 전체</w:t>
            </w:r>
          </w:p>
        </w:tc>
        <w:tc>
          <w:tcPr>
            <w:tcW w:type="dxa" w:w="2211"/>
            <w:tcMar>
              <w:top w:w="90" w:type="dxa"/>
              <w:start w:w="85" w:type="dxa"/>
              <w:bottom w:w="90" w:type="dxa"/>
              <w:end w:w="85" w:type="dxa"/>
            </w:tcMar>
            <w:vAlign w:val="center"/>
          </w:tcPr>
          <w:p>
            <w:pPr>
              <w:jc w:val="left"/>
            </w:pPr>
            <w:r>
              <w:rPr>
                <w:rFonts w:ascii="Noto Serif CJK KR" w:hAnsi="Noto Serif CJK KR" w:eastAsia="Noto Serif CJK KR"/>
                <w:b w:val="0"/>
                <w:sz w:val="17"/>
              </w:rPr>
              <w:t>2025년 글로벌 출하량 +2%</w:t>
            </w:r>
          </w:p>
        </w:tc>
        <w:tc>
          <w:tcPr>
            <w:tcW w:type="dxa" w:w="2948"/>
            <w:tcMar>
              <w:top w:w="90" w:type="dxa"/>
              <w:start w:w="85" w:type="dxa"/>
              <w:bottom w:w="90" w:type="dxa"/>
              <w:end w:w="85" w:type="dxa"/>
            </w:tcMar>
            <w:vAlign w:val="center"/>
          </w:tcPr>
          <w:p>
            <w:pPr>
              <w:jc w:val="left"/>
            </w:pPr>
            <w:r>
              <w:rPr>
                <w:rFonts w:ascii="Noto Serif CJK KR" w:hAnsi="Noto Serif CJK KR" w:eastAsia="Noto Serif CJK KR"/>
                <w:b w:val="0"/>
                <w:sz w:val="17"/>
              </w:rPr>
              <w:t>2025년 삼성 19%, 글로벌 2위</w:t>
            </w:r>
          </w:p>
        </w:tc>
        <w:tc>
          <w:tcPr>
            <w:tcW w:type="dxa" w:w="1984"/>
            <w:tcMar>
              <w:top w:w="90" w:type="dxa"/>
              <w:start w:w="85" w:type="dxa"/>
              <w:bottom w:w="90" w:type="dxa"/>
              <w:end w:w="85" w:type="dxa"/>
            </w:tcMar>
            <w:vAlign w:val="center"/>
          </w:tcPr>
          <w:p>
            <w:pPr>
              <w:jc w:val="center"/>
            </w:pPr>
            <w:r>
              <w:rPr>
                <w:rFonts w:ascii="Noto Serif CJK KR" w:hAnsi="Noto Serif CJK KR" w:eastAsia="Noto Serif CJK KR"/>
                <w:b/>
                <w:sz w:val="17"/>
              </w:rPr>
              <w:t>Cash Cow(경계형)</w:t>
            </w:r>
          </w:p>
        </w:tc>
      </w:tr>
      <w:tr>
        <w:tc>
          <w:tcPr>
            <w:tcW w:type="dxa" w:w="2211"/>
            <w:tcMar>
              <w:top w:w="90" w:type="dxa"/>
              <w:start w:w="85" w:type="dxa"/>
              <w:bottom w:w="90" w:type="dxa"/>
              <w:end w:w="85" w:type="dxa"/>
            </w:tcMar>
            <w:vAlign w:val="center"/>
          </w:tcPr>
          <w:p>
            <w:pPr>
              <w:jc w:val="center"/>
            </w:pPr>
            <w:r>
              <w:rPr>
                <w:rFonts w:ascii="Noto Serif CJK KR" w:hAnsi="Noto Serif CJK KR" w:eastAsia="Noto Serif CJK KR"/>
                <w:b w:val="0"/>
                <w:sz w:val="17"/>
              </w:rPr>
              <w:t>HBM</w:t>
            </w:r>
          </w:p>
        </w:tc>
        <w:tc>
          <w:tcPr>
            <w:tcW w:type="dxa" w:w="2211"/>
            <w:tcMar>
              <w:top w:w="90" w:type="dxa"/>
              <w:start w:w="85" w:type="dxa"/>
              <w:bottom w:w="90" w:type="dxa"/>
              <w:end w:w="85" w:type="dxa"/>
            </w:tcMar>
            <w:vAlign w:val="center"/>
          </w:tcPr>
          <w:p>
            <w:pPr>
              <w:jc w:val="left"/>
            </w:pPr>
            <w:r>
              <w:rPr>
                <w:rFonts w:ascii="Noto Serif CJK KR" w:hAnsi="Noto Serif CJK KR" w:eastAsia="Noto Serif CJK KR"/>
                <w:b w:val="0"/>
                <w:sz w:val="17"/>
              </w:rPr>
              <w:t>AI 수요로 구조적 고성장 지속</w:t>
            </w:r>
          </w:p>
        </w:tc>
        <w:tc>
          <w:tcPr>
            <w:tcW w:type="dxa" w:w="2948"/>
            <w:tcMar>
              <w:top w:w="90" w:type="dxa"/>
              <w:start w:w="85" w:type="dxa"/>
              <w:bottom w:w="90" w:type="dxa"/>
              <w:end w:w="85" w:type="dxa"/>
            </w:tcMar>
            <w:vAlign w:val="center"/>
          </w:tcPr>
          <w:p>
            <w:pPr>
              <w:jc w:val="left"/>
            </w:pPr>
            <w:r>
              <w:rPr>
                <w:rFonts w:ascii="Noto Serif CJK KR" w:hAnsi="Noto Serif CJK KR" w:eastAsia="Noto Serif CJK KR"/>
                <w:b w:val="0"/>
                <w:sz w:val="17"/>
              </w:rPr>
              <w:t>2026년 2분기 삼성 33%, SK하이닉스 50%</w:t>
            </w:r>
          </w:p>
        </w:tc>
        <w:tc>
          <w:tcPr>
            <w:tcW w:type="dxa" w:w="1984"/>
            <w:tcMar>
              <w:top w:w="90" w:type="dxa"/>
              <w:start w:w="85" w:type="dxa"/>
              <w:bottom w:w="90" w:type="dxa"/>
              <w:end w:w="85" w:type="dxa"/>
            </w:tcMar>
            <w:vAlign w:val="center"/>
          </w:tcPr>
          <w:p>
            <w:pPr>
              <w:jc w:val="center"/>
            </w:pPr>
            <w:r>
              <w:rPr>
                <w:rFonts w:ascii="Noto Serif CJK KR" w:hAnsi="Noto Serif CJK KR" w:eastAsia="Noto Serif CJK KR"/>
                <w:b/>
                <w:sz w:val="17"/>
              </w:rPr>
              <w:t>Question Mark</w:t>
            </w:r>
          </w:p>
        </w:tc>
      </w:tr>
      <w:tr>
        <w:tc>
          <w:tcPr>
            <w:tcW w:type="dxa" w:w="2211"/>
            <w:tcMar>
              <w:top w:w="90" w:type="dxa"/>
              <w:start w:w="85" w:type="dxa"/>
              <w:bottom w:w="90" w:type="dxa"/>
              <w:end w:w="85" w:type="dxa"/>
            </w:tcMar>
            <w:vAlign w:val="center"/>
          </w:tcPr>
          <w:p>
            <w:pPr>
              <w:jc w:val="center"/>
            </w:pPr>
            <w:r>
              <w:rPr>
                <w:rFonts w:ascii="Noto Serif CJK KR" w:hAnsi="Noto Serif CJK KR" w:eastAsia="Noto Serif CJK KR"/>
                <w:b w:val="0"/>
                <w:sz w:val="17"/>
              </w:rPr>
              <w:t>Dog 영역</w:t>
            </w:r>
          </w:p>
        </w:tc>
        <w:tc>
          <w:tcPr>
            <w:tcW w:type="dxa" w:w="2211"/>
            <w:tcMar>
              <w:top w:w="90" w:type="dxa"/>
              <w:start w:w="85" w:type="dxa"/>
              <w:bottom w:w="90" w:type="dxa"/>
              <w:end w:w="85" w:type="dxa"/>
            </w:tcMar>
            <w:vAlign w:val="center"/>
          </w:tcPr>
          <w:p>
            <w:pPr>
              <w:jc w:val="left"/>
            </w:pPr>
            <w:r>
              <w:rPr>
                <w:rFonts w:ascii="Noto Serif CJK KR" w:hAnsi="Noto Serif CJK KR" w:eastAsia="Noto Serif CJK KR"/>
                <w:b w:val="0"/>
                <w:sz w:val="17"/>
              </w:rPr>
              <w:t>핵심 분석 제품 중 명확한 대상 없음</w:t>
            </w:r>
          </w:p>
        </w:tc>
        <w:tc>
          <w:tcPr>
            <w:tcW w:type="dxa" w:w="2948"/>
            <w:tcMar>
              <w:top w:w="90" w:type="dxa"/>
              <w:start w:w="85" w:type="dxa"/>
              <w:bottom w:w="90" w:type="dxa"/>
              <w:end w:w="85" w:type="dxa"/>
            </w:tcMar>
            <w:vAlign w:val="center"/>
          </w:tcPr>
          <w:p>
            <w:pPr>
              <w:jc w:val="left"/>
            </w:pPr>
            <w:r>
              <w:rPr>
                <w:rFonts w:ascii="Noto Serif CJK KR" w:hAnsi="Noto Serif CJK KR" w:eastAsia="Noto Serif CJK KR"/>
                <w:b w:val="0"/>
                <w:sz w:val="17"/>
              </w:rPr>
              <w:t>저성장·저점유 제품은 지속 선별 필요</w:t>
            </w:r>
          </w:p>
        </w:tc>
        <w:tc>
          <w:tcPr>
            <w:tcW w:type="dxa" w:w="1984"/>
            <w:tcMar>
              <w:top w:w="90" w:type="dxa"/>
              <w:start w:w="85" w:type="dxa"/>
              <w:bottom w:w="90" w:type="dxa"/>
              <w:end w:w="85" w:type="dxa"/>
            </w:tcMar>
            <w:vAlign w:val="center"/>
          </w:tcPr>
          <w:p>
            <w:pPr>
              <w:jc w:val="center"/>
            </w:pPr>
            <w:r>
              <w:rPr>
                <w:rFonts w:ascii="Noto Serif CJK KR" w:hAnsi="Noto Serif CJK KR" w:eastAsia="Noto Serif CJK KR"/>
                <w:b/>
                <w:sz w:val="17"/>
              </w:rPr>
              <w:t>선별적 축소 대상</w:t>
            </w:r>
          </w:p>
        </w:tc>
      </w:tr>
    </w:tbl>
    <w:p>
      <w:pPr>
        <w:spacing w:before="40" w:after="140"/>
      </w:pPr>
      <w:r>
        <w:rPr>
          <w:rFonts w:ascii="Noto Sans CJK KR" w:hAnsi="Noto Sans CJK KR" w:eastAsia="Noto Sans CJK KR"/>
          <w:b w:val="0"/>
          <w:color w:val="5A5A5A"/>
          <w:sz w:val="17"/>
        </w:rPr>
        <w:t>자료: Counterpoint Research(2026), Omdia(2025~2026), Samsung Newsroom(2026). 수치는 공개자료를 바탕으로 본 과제 목적에 맞게 정리하였다.</w:t>
      </w:r>
    </w:p>
    <w:p>
      <w:pPr>
        <w:spacing w:before="40" w:after="100"/>
      </w:pPr>
      <w:r>
        <w:rPr>
          <w:rFonts w:ascii="Noto Sans CJK KR" w:hAnsi="Noto Sans CJK KR" w:eastAsia="Noto Sans CJK KR"/>
          <w:b/>
          <w:color w:val="23374B"/>
          <w:sz w:val="24"/>
        </w:rPr>
        <w:t>3. BCG 매트릭스 배치</w:t>
      </w:r>
    </w:p>
    <w:tbl>
      <w:tblPr>
        <w:tblW w:type="auto" w:w="0"/>
        <w:jc w:val="center"/>
        <w:tblLayout w:type="fixed"/>
        <w:tblLook w:firstColumn="1" w:firstRow="1" w:lastColumn="0" w:lastRow="0" w:noHBand="0" w:noVBand="1" w:val="04A0"/>
      </w:tblPr>
      <w:tblGrid>
        <w:gridCol w:w="3249"/>
        <w:gridCol w:w="3249"/>
        <w:gridCol w:w="3249"/>
      </w:tblGrid>
      <w:tr>
        <w:tc>
          <w:tcPr>
            <w:tcW w:type="dxa" w:w="1417"/>
            <w:tcMar>
              <w:top w:w="130" w:type="dxa"/>
              <w:start w:w="120" w:type="dxa"/>
              <w:bottom w:w="130" w:type="dxa"/>
              <w:end w:w="120" w:type="dxa"/>
            </w:tcMar>
            <w:vAlign w:val="center"/>
            <w:shd w:fill="F3F5F7"/>
          </w:tcPr>
          <w:p>
            <w:pPr>
              <w:jc w:val="center"/>
            </w:pPr>
            <w:r>
              <w:rPr>
                <w:rFonts w:ascii="Noto Sans CJK KR" w:hAnsi="Noto Sans CJK KR" w:eastAsia="Noto Sans CJK KR"/>
                <w:b/>
                <w:color w:val="23374B"/>
                <w:sz w:val="19"/>
              </w:rPr>
              <w:t>시장성장률</w:t>
            </w:r>
          </w:p>
        </w:tc>
        <w:tc>
          <w:tcPr>
            <w:tcW w:type="dxa" w:w="3742"/>
            <w:tcMar>
              <w:top w:w="130" w:type="dxa"/>
              <w:start w:w="120" w:type="dxa"/>
              <w:bottom w:w="130" w:type="dxa"/>
              <w:end w:w="120" w:type="dxa"/>
            </w:tcMar>
            <w:vAlign w:val="center"/>
            <w:shd w:fill="DDEAF3"/>
          </w:tcPr>
          <w:p>
            <w:pPr>
              <w:jc w:val="center"/>
            </w:pPr>
            <w:r>
              <w:rPr>
                <w:rFonts w:ascii="Noto Sans CJK KR" w:hAnsi="Noto Sans CJK KR" w:eastAsia="Noto Sans CJK KR"/>
                <w:b/>
                <w:color w:val="23374B"/>
                <w:sz w:val="19"/>
              </w:rPr>
              <w:t>상대적 점유율 높음</w:t>
            </w:r>
          </w:p>
        </w:tc>
        <w:tc>
          <w:tcPr>
            <w:tcW w:type="dxa" w:w="3742"/>
            <w:tcMar>
              <w:top w:w="130" w:type="dxa"/>
              <w:start w:w="120" w:type="dxa"/>
              <w:bottom w:w="130" w:type="dxa"/>
              <w:end w:w="120" w:type="dxa"/>
            </w:tcMar>
            <w:vAlign w:val="center"/>
            <w:shd w:fill="DDEAF3"/>
          </w:tcPr>
          <w:p>
            <w:pPr>
              <w:jc w:val="center"/>
            </w:pPr>
            <w:r>
              <w:rPr>
                <w:rFonts w:ascii="Noto Sans CJK KR" w:hAnsi="Noto Sans CJK KR" w:eastAsia="Noto Sans CJK KR"/>
                <w:b/>
                <w:color w:val="23374B"/>
                <w:sz w:val="19"/>
              </w:rPr>
              <w:t>상대적 점유율 낮음</w:t>
            </w:r>
          </w:p>
        </w:tc>
      </w:tr>
      <w:tr>
        <w:tc>
          <w:tcPr>
            <w:tcW w:type="dxa" w:w="1417"/>
            <w:tcMar>
              <w:top w:w="130" w:type="dxa"/>
              <w:start w:w="120" w:type="dxa"/>
              <w:bottom w:w="130" w:type="dxa"/>
              <w:end w:w="120" w:type="dxa"/>
            </w:tcMar>
            <w:vAlign w:val="center"/>
          </w:tcPr>
          <w:p>
            <w:pPr>
              <w:jc w:val="center"/>
            </w:pPr>
            <w:r>
              <w:rPr>
                <w:rFonts w:ascii="Noto Sans CJK KR" w:hAnsi="Noto Sans CJK KR" w:eastAsia="Noto Sans CJK KR"/>
                <w:b/>
                <w:color w:val="23374B"/>
                <w:sz w:val="19"/>
              </w:rPr>
              <w:t>높음</w:t>
            </w:r>
          </w:p>
        </w:tc>
        <w:tc>
          <w:tcPr>
            <w:tcW w:type="dxa" w:w="3742"/>
            <w:tcMar>
              <w:top w:w="130" w:type="dxa"/>
              <w:start w:w="120" w:type="dxa"/>
              <w:bottom w:w="130" w:type="dxa"/>
              <w:end w:w="120" w:type="dxa"/>
            </w:tcMar>
            <w:vAlign w:val="center"/>
            <w:shd w:fill="E8F1F8"/>
          </w:tcPr>
          <w:p>
            <w:pPr>
              <w:jc w:val="center"/>
            </w:pPr>
            <w:r>
              <w:rPr>
                <w:rFonts w:ascii="Noto Sans CJK KR" w:hAnsi="Noto Sans CJK KR" w:eastAsia="Noto Sans CJK KR"/>
                <w:b/>
                <w:color w:val="23374B"/>
                <w:sz w:val="19"/>
              </w:rPr>
              <w:t>STAR</w:t>
              <w:br/>
              <w:t>폴더블 스마트폰</w:t>
            </w:r>
          </w:p>
        </w:tc>
        <w:tc>
          <w:tcPr>
            <w:tcW w:type="dxa" w:w="3742"/>
            <w:tcMar>
              <w:top w:w="130" w:type="dxa"/>
              <w:start w:w="120" w:type="dxa"/>
              <w:bottom w:w="130" w:type="dxa"/>
              <w:end w:w="120" w:type="dxa"/>
            </w:tcMar>
            <w:vAlign w:val="center"/>
            <w:shd w:fill="F4EEDC"/>
          </w:tcPr>
          <w:p>
            <w:pPr>
              <w:jc w:val="center"/>
            </w:pPr>
            <w:r>
              <w:rPr>
                <w:rFonts w:ascii="Noto Sans CJK KR" w:hAnsi="Noto Sans CJK KR" w:eastAsia="Noto Sans CJK KR"/>
                <w:b/>
                <w:color w:val="23374B"/>
                <w:sz w:val="19"/>
              </w:rPr>
              <w:t>QUESTION MARK</w:t>
              <w:br/>
              <w:t>HBM</w:t>
            </w:r>
          </w:p>
        </w:tc>
      </w:tr>
      <w:tr>
        <w:tc>
          <w:tcPr>
            <w:tcW w:type="dxa" w:w="1417"/>
            <w:tcMar>
              <w:top w:w="130" w:type="dxa"/>
              <w:start w:w="120" w:type="dxa"/>
              <w:bottom w:w="130" w:type="dxa"/>
              <w:end w:w="120" w:type="dxa"/>
            </w:tcMar>
            <w:vAlign w:val="center"/>
          </w:tcPr>
          <w:p>
            <w:pPr>
              <w:jc w:val="center"/>
            </w:pPr>
            <w:r>
              <w:rPr>
                <w:rFonts w:ascii="Noto Sans CJK KR" w:hAnsi="Noto Sans CJK KR" w:eastAsia="Noto Sans CJK KR"/>
                <w:b/>
                <w:color w:val="23374B"/>
                <w:sz w:val="19"/>
              </w:rPr>
              <w:t>낮음</w:t>
            </w:r>
          </w:p>
        </w:tc>
        <w:tc>
          <w:tcPr>
            <w:tcW w:type="dxa" w:w="3742"/>
            <w:tcMar>
              <w:top w:w="130" w:type="dxa"/>
              <w:start w:w="120" w:type="dxa"/>
              <w:bottom w:w="130" w:type="dxa"/>
              <w:end w:w="120" w:type="dxa"/>
            </w:tcMar>
            <w:vAlign w:val="center"/>
            <w:shd w:fill="E8F2E8"/>
          </w:tcPr>
          <w:p>
            <w:pPr>
              <w:jc w:val="center"/>
            </w:pPr>
            <w:r>
              <w:rPr>
                <w:rFonts w:ascii="Noto Sans CJK KR" w:hAnsi="Noto Sans CJK KR" w:eastAsia="Noto Sans CJK KR"/>
                <w:b/>
                <w:color w:val="23374B"/>
                <w:sz w:val="19"/>
              </w:rPr>
              <w:t>CASH COW</w:t>
              <w:br/>
              <w:t>TV · 스마트폰</w:t>
            </w:r>
          </w:p>
        </w:tc>
        <w:tc>
          <w:tcPr>
            <w:tcW w:type="dxa" w:w="3742"/>
            <w:tcMar>
              <w:top w:w="130" w:type="dxa"/>
              <w:start w:w="120" w:type="dxa"/>
              <w:bottom w:w="130" w:type="dxa"/>
              <w:end w:w="120" w:type="dxa"/>
            </w:tcMar>
            <w:vAlign w:val="center"/>
            <w:shd w:fill="F1ECEC"/>
          </w:tcPr>
          <w:p>
            <w:pPr>
              <w:jc w:val="center"/>
            </w:pPr>
            <w:r>
              <w:rPr>
                <w:rFonts w:ascii="Noto Sans CJK KR" w:hAnsi="Noto Sans CJK KR" w:eastAsia="Noto Sans CJK KR"/>
                <w:b/>
                <w:color w:val="23374B"/>
                <w:sz w:val="19"/>
              </w:rPr>
              <w:t>DOG</w:t>
              <w:br/>
              <w:t>핵심 제품 중 명확한 대상 없음</w:t>
            </w:r>
          </w:p>
        </w:tc>
      </w:tr>
    </w:tbl>
    <w:p>
      <w:pPr>
        <w:spacing w:before="40" w:after="140"/>
      </w:pPr>
      <w:r>
        <w:rPr>
          <w:rFonts w:ascii="Noto Sans CJK KR" w:hAnsi="Noto Sans CJK KR" w:eastAsia="Noto Sans CJK KR"/>
          <w:b w:val="0"/>
          <w:color w:val="5A5A5A"/>
          <w:sz w:val="17"/>
        </w:rPr>
        <w:t>※ 스마트폰 전체는 2025년 삼성 19%, 애플 20%로 상대적 점유율이 거의 1에 가까운 경계선에 있으므로, 규모·브랜드·현금창출력을 고려하여 Cash Cow 성격이 강한 것으로 판단하였다.</w:t>
      </w:r>
    </w:p>
    <w:p>
      <w:pPr>
        <w:spacing w:before="40" w:after="100"/>
      </w:pPr>
      <w:r>
        <w:rPr>
          <w:rFonts w:ascii="Noto Sans CJK KR" w:hAnsi="Noto Sans CJK KR" w:eastAsia="Noto Sans CJK KR"/>
          <w:b/>
          <w:color w:val="23374B"/>
          <w:sz w:val="24"/>
        </w:rPr>
        <w:t>3-1. Star: 폴더블 스마트폰</w:t>
      </w:r>
    </w:p>
    <w:p>
      <w:pPr>
        <w:keepLines w:val="0"/>
        <w:spacing w:line="396" w:lineRule="auto" w:after="120"/>
        <w:ind w:firstLine="397"/>
        <w:jc w:val="both"/>
      </w:pPr>
      <w:r>
        <w:rPr>
          <w:rFonts w:ascii="Noto Serif CJK KR" w:hAnsi="Noto Serif CJK KR" w:eastAsia="Noto Serif CJK KR"/>
          <w:sz w:val="21"/>
        </w:rPr>
        <w:t>폴더블 스마트폰은 전체 스마트폰 시장에 비하면 아직 작은 비중이지만 성장성이 높은 프리미엄 세부시장이다. Counterpoint Research는 2026년 글로벌 폴더블 스마트폰 출하량이 전년 대비 21% 증가할 것으로 전망했으며, 삼성전자가 약 32%의 점유율로 1위를 유지할 것으로 예상하였다. 이는 시장 자체가 확대되고 있으며 삼성전자가 선도적 지위를 보유하고 있다는 점에서 Star의 조건에 부합한다. 특히 폴더블은 단순한 하드웨어 차별화를 넘어 멀티태스킹, AI 기반 생산성 기능, 대화면 경험과 결합될 수 있어 향후 프리미엄 스마트폰 시장의 차별화 축이 될 가능성이 있다.</w:t>
      </w:r>
    </w:p>
    <w:p>
      <w:pPr>
        <w:keepLines w:val="0"/>
        <w:spacing w:line="396" w:lineRule="auto" w:after="120"/>
        <w:ind w:firstLine="397"/>
        <w:jc w:val="both"/>
      </w:pPr>
      <w:r>
        <w:rPr>
          <w:rFonts w:ascii="Noto Serif CJK KR" w:hAnsi="Noto Serif CJK KR" w:eastAsia="Noto Serif CJK KR"/>
          <w:sz w:val="21"/>
        </w:rPr>
        <w:t>다만 Star는 높은 성장률 때문에 지속적 투자가 요구된다. 중국 제조사의 폴더블 경쟁력 향상과 신규 경쟁자의 진입이 예상되므로, 삼성전자는 얇은 두께와 내구성, 힌지 기술, 배터리 효율, AI 사용자경험을 동시에 개선해야 한다. 또한 고가 제품이라는 진입장벽을 낮추기 위해 보상판매, 통신사 제휴, 중고가치 보장 프로그램 등 가격 부담을 완화하는 마케팅이 필요하다.</w:t>
      </w:r>
    </w:p>
    <w:p>
      <w:pPr>
        <w:spacing w:before="40" w:after="100"/>
      </w:pPr>
      <w:r>
        <w:rPr>
          <w:rFonts w:ascii="Noto Sans CJK KR" w:hAnsi="Noto Sans CJK KR" w:eastAsia="Noto Sans CJK KR"/>
          <w:b/>
          <w:color w:val="23374B"/>
          <w:sz w:val="24"/>
        </w:rPr>
        <w:t>3-2. Cash Cow: TV 및 스마트폰 전체 제품군</w:t>
      </w:r>
    </w:p>
    <w:p>
      <w:pPr>
        <w:keepLines w:val="0"/>
        <w:spacing w:line="396" w:lineRule="auto" w:after="120"/>
        <w:ind w:firstLine="397"/>
        <w:jc w:val="both"/>
      </w:pPr>
      <w:r>
        <w:rPr>
          <w:rFonts w:ascii="Noto Serif CJK KR" w:hAnsi="Noto Serif CJK KR" w:eastAsia="Noto Serif CJK KR"/>
          <w:sz w:val="21"/>
        </w:rPr>
        <w:t>TV 시장은 대표적인 성숙시장이다. Omdia는 2025년 글로벌 TV 출하량을 약 2억 870만 대로 전년 대비 0.1% 감소할 것으로 전망하였다. 반면 삼성전자는 2025년 매출 기준 글로벌 TV 시장에서 29.1% 점유율을 기록해 20년 연속 1위를 유지하였다. 높은 시장지위와 낮은 시장성장률이 동시에 나타난다는 점에서 TV 사업은 전형적인 Cash Cow로 볼 수 있다. 특히 이미 형성된 브랜드 인지도, 유통망, 프리미엄 라인업은 안정적 수익창출의 기반이 된다.</w:t>
      </w:r>
    </w:p>
    <w:p>
      <w:pPr>
        <w:keepLines w:val="0"/>
        <w:spacing w:line="396" w:lineRule="auto" w:after="120"/>
        <w:ind w:firstLine="397"/>
        <w:jc w:val="both"/>
      </w:pPr>
      <w:r>
        <w:rPr>
          <w:rFonts w:ascii="Noto Serif CJK KR" w:hAnsi="Noto Serif CJK KR" w:eastAsia="Noto Serif CJK KR"/>
          <w:sz w:val="21"/>
        </w:rPr>
        <w:t>스마트폰 전체 시장도 비슷한 특성이 있다. 2025년 글로벌 스마트폰 출하량은 약 2% 성장에 그쳤고, 삼성전자는 19%의 점유율로 20%의 애플과 사실상 양강구도를 형성하였다. 엄격한 상대시장점유율 기준으로 보면 1보다 약간 낮지만, 시장 전체에서 매우 높은 절대점유율을 확보하고 있고 Galaxy S·A 시리즈를 중심으로 폭넓은 가격대를 보유하고 있어 실무적으로는 Cash Cow의 성격이 강하다. 이 사업에서는 무리한 출하량 확대보다 프리미엄 비중, 서비스 매출, 생태계 연동을 통해 수익성을 유지하는 것이 중요하다.</w:t>
      </w:r>
    </w:p>
    <w:p>
      <w:pPr>
        <w:spacing w:before="40" w:after="100"/>
      </w:pPr>
      <w:r>
        <w:rPr>
          <w:rFonts w:ascii="Noto Sans CJK KR" w:hAnsi="Noto Sans CJK KR" w:eastAsia="Noto Sans CJK KR"/>
          <w:b/>
          <w:color w:val="23374B"/>
          <w:sz w:val="24"/>
        </w:rPr>
        <w:t>3-3. Question Mark: HBM</w:t>
      </w:r>
    </w:p>
    <w:p>
      <w:pPr>
        <w:keepLines w:val="0"/>
        <w:spacing w:line="396" w:lineRule="auto" w:after="120"/>
        <w:ind w:firstLine="397"/>
        <w:jc w:val="both"/>
      </w:pPr>
      <w:r>
        <w:rPr>
          <w:rFonts w:ascii="Noto Serif CJK KR" w:hAnsi="Noto Serif CJK KR" w:eastAsia="Noto Serif CJK KR"/>
          <w:sz w:val="21"/>
        </w:rPr>
        <w:t>HBM은 생성형 AI와 데이터센터용 가속기 확산으로 성장성이 매우 높은 메모리 제품이다. 그러나 2026년 2분기 매출 기준 HBM 시장점유율은 SK하이닉스 50%, 삼성전자 33%, 마이크론 18%로 나타났다. 삼성전자가 빠르게 점유율을 높이고 있지만 선두와의 격차가 존재한다는 점에서 Question Mark에 해당한다. HBM은 시장성장성이 높아 성공할 경우 향후 대규모 현금창출원이 될 수 있지만, 고객 인증, 수율, 발열·전력 효율, 적기 양산 등 기술적·운영적 조건을 충족하지 못하면 대규모 투자비용이 부담으로 남을 수 있다.</w:t>
      </w:r>
    </w:p>
    <w:p>
      <w:pPr>
        <w:keepLines w:val="0"/>
        <w:spacing w:line="396" w:lineRule="auto" w:after="120"/>
        <w:ind w:firstLine="397"/>
        <w:jc w:val="both"/>
      </w:pPr>
      <w:r>
        <w:rPr>
          <w:rFonts w:ascii="Noto Serif CJK KR" w:hAnsi="Noto Serif CJK KR" w:eastAsia="Noto Serif CJK KR"/>
          <w:sz w:val="21"/>
        </w:rPr>
        <w:t>따라서 HBM은 단순히 시장이 성장한다는 이유만으로 일률적으로 투자를 늘리는 것보다 핵심 고객과 세대별 제품 로드맵을 기준으로 선택적 집중을 해야 한다. HBM3E에서의 품질과 공급 안정성을 확보하면서 HBM4·HBM4E 전환에서 선제적으로 고객 인증을 통과하고, 메모리와 파운드리·패키징 기술을 결합한 통합 솔루션 역량을 강화할 필요가 있다. 이 전략이 성공하면 Question Mark가 Star로 이동할 가능성이 높다.</w:t>
      </w:r>
    </w:p>
    <w:p>
      <w:pPr>
        <w:spacing w:before="40" w:after="100"/>
      </w:pPr>
      <w:r>
        <w:rPr>
          <w:rFonts w:ascii="Noto Sans CJK KR" w:hAnsi="Noto Sans CJK KR" w:eastAsia="Noto Sans CJK KR"/>
          <w:b/>
          <w:color w:val="23374B"/>
          <w:sz w:val="24"/>
        </w:rPr>
        <w:t>3-4. Dog 영역에 대한 해석</w:t>
      </w:r>
    </w:p>
    <w:p>
      <w:pPr>
        <w:keepLines w:val="0"/>
        <w:spacing w:line="396" w:lineRule="auto" w:after="120"/>
        <w:ind w:firstLine="397"/>
        <w:jc w:val="both"/>
      </w:pPr>
      <w:r>
        <w:rPr>
          <w:rFonts w:ascii="Noto Serif CJK KR" w:hAnsi="Noto Serif CJK KR" w:eastAsia="Noto Serif CJK KR"/>
          <w:sz w:val="21"/>
        </w:rPr>
        <w:t>본 분석에서 선정한 삼성전자의 핵심 제품 가운데 공개자료만으로 명확하게 Dog로 판단할 수 있는 현재 제품은 설정하지 않았다. 이는 모든 제품이 우수하다는 의미가 아니라, 대규모 기업의 포트폴리오를 단순한 시장점유율만으로 저성장·저점유라고 단정할 경우 오류가 발생할 수 있기 때문이다. 다만 저가 범용 하드웨어처럼 차별화가 어렵고 가격경쟁이 심해지는 세부 제품은 Dog 후보가 될 수 있다. 이러한 제품은 매출 규모보다 자본효율성과 생태계 기여도를 기준으로 유지 여부를 판단해야 한다.</w:t>
      </w:r>
    </w:p>
    <w:p>
      <w:pPr>
        <w:spacing w:before="40" w:after="100"/>
      </w:pPr>
      <w:r>
        <w:rPr>
          <w:rFonts w:ascii="Noto Sans CJK KR" w:hAnsi="Noto Sans CJK KR" w:eastAsia="Noto Sans CJK KR"/>
          <w:b/>
          <w:color w:val="23374B"/>
          <w:sz w:val="24"/>
        </w:rPr>
        <w:t>4. BCG 분석에 따른 향후 전략 수립</w:t>
      </w:r>
    </w:p>
    <w:p>
      <w:pPr>
        <w:spacing w:before="40" w:after="100"/>
      </w:pPr>
      <w:r>
        <w:rPr>
          <w:rFonts w:ascii="Noto Sans CJK KR" w:hAnsi="Noto Sans CJK KR" w:eastAsia="Noto Sans CJK KR"/>
          <w:b/>
          <w:color w:val="23374B"/>
          <w:sz w:val="24"/>
        </w:rPr>
        <w:t>4-1. Star 제품은 기술우위와 생태계 확장을 동시에 추구해야 한다</w:t>
      </w:r>
    </w:p>
    <w:p>
      <w:pPr>
        <w:keepLines w:val="0"/>
        <w:spacing w:line="396" w:lineRule="auto" w:after="120"/>
        <w:ind w:firstLine="397"/>
        <w:jc w:val="both"/>
      </w:pPr>
      <w:r>
        <w:rPr>
          <w:rFonts w:ascii="Noto Serif CJK KR" w:hAnsi="Noto Serif CJK KR" w:eastAsia="Noto Serif CJK KR"/>
          <w:sz w:val="21"/>
        </w:rPr>
        <w:t>폴더블 스마트폰에는 방어적 투자보다 선도적 투자가 적합하다. 첫째, 제품 완성도 측면에서 무게·두께·주름·내구성 같은 구매장벽을 지속적으로 낮춰야 한다. 둘째, 폴더블의 대화면이 실제 사용가치로 연결되도록 AI 기반 멀티태스킹, 문서 요약, 실시간 번역, 콘텐츠 제작 기능을 강화해야 한다. 셋째, 기기 자체 판매에 그치지 않고 갤럭시 워치·버즈·태블릿·PC와의 연동을 강화해 전환비용을 높이는 생태계 전략이 필요하다. 이렇게 해야 시장이 성장하는 동안 점유율을 방어하고 향후 Cash Cow로 전환할 수 있다.</w:t>
      </w:r>
    </w:p>
    <w:p>
      <w:pPr>
        <w:spacing w:before="40" w:after="100"/>
      </w:pPr>
      <w:r>
        <w:rPr>
          <w:rFonts w:ascii="Noto Sans CJK KR" w:hAnsi="Noto Sans CJK KR" w:eastAsia="Noto Sans CJK KR"/>
          <w:b/>
          <w:color w:val="23374B"/>
          <w:sz w:val="24"/>
        </w:rPr>
        <w:t>4-2. Cash Cow는 점유율보다 수익성과 현금흐름을 우선해야 한다</w:t>
      </w:r>
    </w:p>
    <w:p>
      <w:pPr>
        <w:keepLines w:val="0"/>
        <w:spacing w:line="396" w:lineRule="auto" w:after="120"/>
        <w:ind w:firstLine="397"/>
        <w:jc w:val="both"/>
      </w:pPr>
      <w:r>
        <w:rPr>
          <w:rFonts w:ascii="Noto Serif CJK KR" w:hAnsi="Noto Serif CJK KR" w:eastAsia="Noto Serif CJK KR"/>
          <w:sz w:val="21"/>
        </w:rPr>
        <w:t>TV와 스마트폰 전체 제품군은 성숙시장이라는 특성을 고려해 무조건적인 물량 확대보다 수익성 중심 전략을 취해야 한다. TV에서는 프리미엄·초대형·OLED·Mini LED 등 고부가 제품의 비중을 높이고, 콘텐츠·광고·스마트홈 플랫폼을 통한 반복수익을 확대할 필요가 있다. 스마트폰에서는 중저가 시장의 가격경쟁에 과도하게 대응하기보다 Galaxy S와 Z 시리즈의 프리미엄 이미지를 유지하고, Galaxy AI 및 구독·보증·클라우드 서비스와 결합해 고객생애가치를 높이는 것이 중요하다. Cash Cow에서 창출된 현금은 HBM과 차세대 디바이스 등 성장분야에 재투자되어야 한다.</w:t>
      </w:r>
    </w:p>
    <w:p>
      <w:pPr>
        <w:spacing w:before="40" w:after="100"/>
      </w:pPr>
      <w:r>
        <w:rPr>
          <w:rFonts w:ascii="Noto Sans CJK KR" w:hAnsi="Noto Sans CJK KR" w:eastAsia="Noto Sans CJK KR"/>
          <w:b/>
          <w:color w:val="23374B"/>
          <w:sz w:val="24"/>
        </w:rPr>
        <w:t>4-3. Question Mark인 HBM에는 선택적 공격투자가 필요하다</w:t>
      </w:r>
    </w:p>
    <w:p>
      <w:pPr>
        <w:keepLines w:val="0"/>
        <w:spacing w:line="396" w:lineRule="auto" w:after="120"/>
        <w:ind w:firstLine="397"/>
        <w:jc w:val="both"/>
      </w:pPr>
      <w:r>
        <w:rPr>
          <w:rFonts w:ascii="Noto Serif CJK KR" w:hAnsi="Noto Serif CJK KR" w:eastAsia="Noto Serif CJK KR"/>
          <w:sz w:val="21"/>
        </w:rPr>
        <w:t>HBM은 투자 자체보다 투자방향의 정확성이 중요하다. 고객별 요구 사양과 인증 일정을 바탕으로 제품개발·패키징·양산을 통합 관리하고, 선두 고객을 확보해 학습효과를 빠르게 축적해야 한다. 특히 HBM4 이후에는 메모리만의 경쟁이 아니라 로직 베이스 다이, 첨단 패키징, 파운드리 역량이 결합되는 방향으로 발전할 가능성이 높다. 삼성전자는 반도체 밸류체인을 폭넓게 보유한 장점을 활용하여 단품 판매가 아닌 통합 제안 능력을 강화할 수 있다. 다만 단기 점유율 확대를 위해 수익성이 낮은 계약을 무리하게 수주하기보다, 수율 안정화와 고객 다변화를 병행하는 것이 바람직하다.</w:t>
      </w:r>
    </w:p>
    <w:p>
      <w:pPr>
        <w:spacing w:before="40" w:after="100"/>
      </w:pPr>
      <w:r>
        <w:rPr>
          <w:rFonts w:ascii="Noto Sans CJK KR" w:hAnsi="Noto Sans CJK KR" w:eastAsia="Noto Sans CJK KR"/>
          <w:b/>
          <w:color w:val="23374B"/>
          <w:sz w:val="24"/>
        </w:rPr>
        <w:t>4-4. Dog 후보는 정기적으로 선별하고 자원을 재배치해야 한다</w:t>
      </w:r>
    </w:p>
    <w:p>
      <w:pPr>
        <w:keepLines w:val="0"/>
        <w:spacing w:line="396" w:lineRule="auto" w:after="120"/>
        <w:ind w:firstLine="397"/>
        <w:jc w:val="both"/>
      </w:pPr>
      <w:r>
        <w:rPr>
          <w:rFonts w:ascii="Noto Serif CJK KR" w:hAnsi="Noto Serif CJK KR" w:eastAsia="Noto Serif CJK KR"/>
          <w:sz w:val="21"/>
        </w:rPr>
        <w:t>Dog에 해당할 수 있는 저성장·저점유 세부 제품은 조직 내부 관성 때문에 계속 유지될 가능성이 있다. 따라서 제품별 매출총이익, 마케팅비, 재고회전, 고객유지 기여도, 다른 제품과의 생태계 시너지 등을 정기적으로 평가해야 한다. 전략적 기여도가 낮다면 SKU 축소, 특정 지역 철수, OEM 활용, 사업매각 등의 방식을 통해 자원을 회수하고, 회수한 자원을 Star와 유망 Question Mark에 배분해야 한다. 이러한 재배치가 이루어져야 BCG 분석이 단순한 분류표가 아니라 실제 경영의사결정 도구로 기능할 수 있다.</w:t>
      </w:r>
    </w:p>
    <w:p>
      <w:pPr>
        <w:spacing w:before="40" w:after="100"/>
      </w:pPr>
      <w:r>
        <w:rPr>
          <w:rFonts w:ascii="Noto Sans CJK KR" w:hAnsi="Noto Sans CJK KR" w:eastAsia="Noto Sans CJK KR"/>
          <w:b/>
          <w:color w:val="23374B"/>
          <w:sz w:val="24"/>
        </w:rPr>
        <w:t>4-5. 포트폴리오 전체 차원의 제안</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단기: TV·스마트폰에서 수익성 중심 운영을 강화하고, HBM 고객 인증과 양산 안정화에 자원을 집중한다.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중기: 폴더블과 AI 스마트폰을 프리미엄 성장축으로 육성하고, HBM4·첨단 패키징 경쟁력을 통해 반도체 포트폴리오를 재편한다.</w:t>
      </w:r>
    </w:p>
    <w:p>
      <w:pPr>
        <w:spacing w:line="360" w:lineRule="auto" w:after="60"/>
        <w:ind w:left="397" w:hanging="227"/>
      </w:pPr>
      <w:r>
        <w:rPr>
          <w:rFonts w:ascii="Noto Sans CJK KR" w:hAnsi="Noto Sans CJK KR" w:eastAsia="Noto Sans CJK KR"/>
          <w:b/>
          <w:sz w:val="20"/>
        </w:rPr>
        <w:t xml:space="preserve">• </w:t>
      </w:r>
      <w:r>
        <w:rPr>
          <w:rFonts w:ascii="Noto Serif CJK KR" w:hAnsi="Noto Serif CJK KR" w:eastAsia="Noto Serif CJK KR"/>
          <w:sz w:val="20"/>
        </w:rPr>
        <w:t>장기: 하드웨어 판매 중심 구조에서 AI 서비스, 플랫폼, 구독, 데이터 기반 서비스가 결합된 반복수익형 사업모델을 확대한다.</w:t>
      </w:r>
    </w:p>
    <w:p>
      <w:pPr>
        <w:spacing w:before="40" w:after="160"/>
      </w:pPr>
      <w:r>
        <w:rPr>
          <w:rFonts w:ascii="Noto Sans CJK KR" w:hAnsi="Noto Sans CJK KR" w:eastAsia="Noto Sans CJK KR"/>
          <w:b/>
          <w:color w:val="23374B"/>
          <w:sz w:val="30"/>
        </w:rPr>
        <w:t>Ⅲ. 결론</w:t>
      </w:r>
    </w:p>
    <w:p>
      <w:pPr>
        <w:keepLines w:val="0"/>
        <w:spacing w:line="360" w:lineRule="auto" w:after="80"/>
        <w:ind w:firstLine="397"/>
        <w:jc w:val="both"/>
      </w:pPr>
      <w:r>
        <w:rPr>
          <w:rFonts w:ascii="Noto Serif CJK KR" w:hAnsi="Noto Serif CJK KR" w:eastAsia="Noto Serif CJK KR"/>
          <w:sz w:val="19"/>
        </w:rPr>
        <w:t>BCG 매트릭스를 활용해 삼성전자의 주요 제품라인을 분석한 결과, 폴더블 스마트폰은 높은 성장성과 선도적 점유율을 가진 Star, TV와 스마트폰 전체 제품군은 성숙시장에서 안정적 지위를 유지하는 Cash Cow, HBM은 고성장 시장에서 선두를 추격하는 Question Mark로 해석할 수 있었다. 핵심 분석 범위에서는 현재 명확한 Dog를 단정하기 어려웠으며, 오히려 저가 범용 제품과 같이 차별화가 약한 세부 라인을 지속적으로 점검하는 접근이 더 타당하다.</w:t>
      </w:r>
    </w:p>
    <w:p>
      <w:pPr>
        <w:keepLines w:val="0"/>
        <w:spacing w:line="360" w:lineRule="auto" w:after="80"/>
        <w:ind w:firstLine="397"/>
        <w:jc w:val="both"/>
      </w:pPr>
      <w:r>
        <w:rPr>
          <w:rFonts w:ascii="Noto Serif CJK KR" w:hAnsi="Noto Serif CJK KR" w:eastAsia="Noto Serif CJK KR"/>
          <w:sz w:val="19"/>
        </w:rPr>
        <w:t>이번 분석을 통해 BCG 매트릭스의 가장 큰 장점은 기업이 제품별로 서로 다른 전략을 취해야 한다는 사실을 명확히 보여 준다는 점이라고 판단하였다. 성장성이 높다고 해서 모든 사업에 무조건 투자해야 하는 것은 아니며, 높은 점유율을 확보한 사업도 시장이 성숙하면 현금창출과 효율성 관리가 더 중요해진다. 특히 삼성전자처럼 기술주기가 빠른 기업은 Question Mark가 짧은 기간 안에 Star로 성장하거나 반대로 경쟁력을 잃을 수 있기 때문에 정기적인 재분석이 필요하다.</w:t>
      </w:r>
    </w:p>
    <w:p>
      <w:pPr>
        <w:keepLines w:val="0"/>
        <w:spacing w:line="360" w:lineRule="auto" w:after="80"/>
        <w:ind w:firstLine="397"/>
        <w:jc w:val="both"/>
      </w:pPr>
      <w:r>
        <w:rPr>
          <w:rFonts w:ascii="Noto Serif CJK KR" w:hAnsi="Noto Serif CJK KR" w:eastAsia="Noto Serif CJK KR"/>
          <w:sz w:val="19"/>
        </w:rPr>
        <w:t>향후 삼성전자는 TV와 스마트폰에서 확보한 브랜드와 현금창출력을 기반으로 폴더블·AI 디바이스의 차별화를 지속하고, HBM에서는 기술력과 고객 인증을 강화하여 시장지위를 높여야 한다. 동시에 수익성과 전략적 기여도가 낮은 제품은 과감하게 축소함으로써 자본과 인력을 성장분야에 재배치해야 한다. 결국 BCG 매트릭스는 사분면을 채우는 것 자체보다, 각 사업의 현재 위치와 이동 방향을 파악하고 기업의 한정된 자원을 어디에 집중할 것인지 결정하는 데 의미가 있다.</w:t>
      </w:r>
    </w:p>
    <w:p>
      <w:pPr>
        <w:spacing w:before="40" w:after="160"/>
      </w:pPr>
      <w:r>
        <w:rPr>
          <w:rFonts w:ascii="Noto Sans CJK KR" w:hAnsi="Noto Sans CJK KR" w:eastAsia="Noto Sans CJK KR"/>
          <w:b/>
          <w:color w:val="23374B"/>
          <w:sz w:val="30"/>
        </w:rPr>
        <w:t>Ⅳ. 참고문헌</w:t>
      </w:r>
    </w:p>
    <w:p>
      <w:pPr>
        <w:spacing w:line="247" w:lineRule="auto" w:after="30"/>
        <w:ind w:left="397" w:hanging="397"/>
      </w:pPr>
      <w:r>
        <w:rPr>
          <w:rFonts w:ascii="Noto Serif CJK KR" w:hAnsi="Noto Serif CJK KR" w:eastAsia="Noto Serif CJK KR"/>
          <w:sz w:val="16"/>
        </w:rPr>
        <w:t>Boston Consulting Group. (n.d.). The Growth Share Matrix. Boston Consulting Group.</w:t>
      </w:r>
    </w:p>
    <w:p>
      <w:pPr>
        <w:spacing w:line="247" w:lineRule="auto" w:after="30"/>
        <w:ind w:left="397" w:hanging="397"/>
      </w:pPr>
      <w:r>
        <w:rPr>
          <w:rFonts w:ascii="Noto Serif CJK KR" w:hAnsi="Noto Serif CJK KR" w:eastAsia="Noto Serif CJK KR"/>
          <w:sz w:val="16"/>
        </w:rPr>
        <w:t>Kotler, P., &amp; Keller, K. L. (2016). Marketing Management (15th ed.). Pearson.</w:t>
      </w:r>
    </w:p>
    <w:p>
      <w:pPr>
        <w:spacing w:line="247" w:lineRule="auto" w:after="30"/>
        <w:ind w:left="397" w:hanging="397"/>
      </w:pPr>
      <w:r>
        <w:rPr>
          <w:rFonts w:ascii="Noto Serif CJK KR" w:hAnsi="Noto Serif CJK KR" w:eastAsia="Noto Serif CJK KR"/>
          <w:sz w:val="16"/>
        </w:rPr>
        <w:t>삼성전자. (2026). 2025년 사업보고서. 삼성전자 투자자정보.</w:t>
      </w:r>
    </w:p>
    <w:p>
      <w:pPr>
        <w:spacing w:line="247" w:lineRule="auto" w:after="30"/>
        <w:ind w:left="397" w:hanging="397"/>
      </w:pPr>
      <w:r>
        <w:rPr>
          <w:rFonts w:ascii="Noto Serif CJK KR" w:hAnsi="Noto Serif CJK KR" w:eastAsia="Noto Serif CJK KR"/>
          <w:sz w:val="16"/>
        </w:rPr>
        <w:t>Samsung Newsroom. (2026. 3. 8.). 삼성전자, 글로벌 TV 시장 20년 연속 1위 달성.</w:t>
      </w:r>
    </w:p>
    <w:p>
      <w:pPr>
        <w:spacing w:line="247" w:lineRule="auto" w:after="30"/>
        <w:ind w:left="397" w:hanging="397"/>
      </w:pPr>
      <w:r>
        <w:rPr>
          <w:rFonts w:ascii="Noto Serif CJK KR" w:hAnsi="Noto Serif CJK KR" w:eastAsia="Noto Serif CJK KR"/>
          <w:sz w:val="16"/>
        </w:rPr>
        <w:t>Omdia. (2025. 6. 26.). Global TV shipments forecast flat in 2025, but Mini LED poised for strong growth.</w:t>
      </w:r>
    </w:p>
    <w:p>
      <w:pPr>
        <w:spacing w:line="247" w:lineRule="auto" w:after="30"/>
        <w:ind w:left="397" w:hanging="397"/>
      </w:pPr>
      <w:r>
        <w:rPr>
          <w:rFonts w:ascii="Noto Serif CJK KR" w:hAnsi="Noto Serif CJK KR" w:eastAsia="Noto Serif CJK KR"/>
          <w:sz w:val="16"/>
        </w:rPr>
        <w:t>Counterpoint Research. (2026. 1. 12.). Global Smartphone Shipments Grew 2% YoY in 2025; Apple Emerged as Market Leader.</w:t>
      </w:r>
    </w:p>
    <w:p>
      <w:pPr>
        <w:spacing w:line="247" w:lineRule="auto" w:after="30"/>
        <w:ind w:left="397" w:hanging="397"/>
      </w:pPr>
      <w:r>
        <w:rPr>
          <w:rFonts w:ascii="Noto Serif CJK KR" w:hAnsi="Noto Serif CJK KR" w:eastAsia="Noto Serif CJK KR"/>
          <w:sz w:val="16"/>
        </w:rPr>
        <w:t>Counterpoint Research. (2026. 7. 21.). Samsung to Retain Lead as Global Foldable Market Set for 21% YoY Growth in 2026.</w:t>
      </w:r>
    </w:p>
    <w:p>
      <w:pPr>
        <w:spacing w:line="247" w:lineRule="auto" w:after="30"/>
        <w:ind w:left="397" w:hanging="397"/>
      </w:pPr>
      <w:r>
        <w:rPr>
          <w:rFonts w:ascii="Noto Serif CJK KR" w:hAnsi="Noto Serif CJK KR" w:eastAsia="Noto Serif CJK KR"/>
          <w:sz w:val="16"/>
        </w:rPr>
        <w:t>Counterpoint Research. (2026. 9. 1.). Global DRAM and HBM Market Share: Quarterly.</w:t>
      </w:r>
    </w:p>
    <w:p>
      <w:pPr>
        <w:spacing w:line="247" w:lineRule="auto" w:after="30"/>
        <w:ind w:left="397" w:hanging="397"/>
      </w:pPr>
      <w:r>
        <w:rPr>
          <w:rFonts w:ascii="Noto Serif CJK KR" w:hAnsi="Noto Serif CJK KR" w:eastAsia="Noto Serif CJK KR"/>
          <w:sz w:val="16"/>
        </w:rPr>
        <w:t>TrendForce. (2026. 2. 26.). Price Rally Drives 4Q25 DRAM Revenue Up 29.4%; Samsung Regains No. 1 Market Share.</w:t>
      </w:r>
    </w:p>
    <w:p>
      <w:r>
        <w:br w:type="page"/>
      </w:r>
    </w:p>
    <w:p>
      <w:pPr>
        <w:spacing w:before="240" w:after="240"/>
      </w:pPr>
      <w:r>
        <w:rPr>
          <w:rFonts w:ascii="Noto Sans CJK KR" w:hAnsi="Noto Sans CJK KR" w:eastAsia="Noto Sans CJK KR"/>
          <w:b/>
          <w:color w:val="8C3C1E"/>
          <w:sz w:val="32"/>
        </w:rPr>
        <w:t>⚠️ 주의사항</w:t>
      </w:r>
    </w:p>
    <w:p>
      <w:pPr>
        <w:spacing w:line="408" w:lineRule="auto" w:after="480"/>
      </w:pPr>
      <w:r>
        <w:rPr>
          <w:rFonts w:ascii="Noto Serif CJK KR" w:hAnsi="Noto Serif CJK KR" w:eastAsia="Noto Serif CJK KR"/>
          <w:b/>
          <w:sz w:val="24"/>
        </w:rPr>
        <w:t>본 자료는 학점은행제 과제 참고용 샘플입니다.</w:t>
        <w:br/>
      </w:r>
      <w:r>
        <w:rPr>
          <w:rFonts w:ascii="Noto Serif CJK KR" w:hAnsi="Noto Serif CJK KR" w:eastAsia="Noto Serif CJK KR"/>
          <w:b w:val="0"/>
          <w:sz w:val="24"/>
        </w:rPr>
        <w:t>위 학습 자료를 그대로 제출할 경우 모사율(표절률)로 인하여</w:t>
        <w:br/>
      </w:r>
      <w:r>
        <w:rPr>
          <w:rFonts w:ascii="Noto Serif CJK KR" w:hAnsi="Noto Serif CJK KR" w:eastAsia="Noto Serif CJK KR"/>
          <w:b w:val="0"/>
          <w:sz w:val="24"/>
        </w:rPr>
        <w:t>성적 불이익 또는 해당 과목 0점 처리될 수 있습니다.</w:t>
        <w:br/>
      </w:r>
      <w:r>
        <w:rPr>
          <w:rFonts w:ascii="Noto Serif CJK KR" w:hAnsi="Noto Serif CJK KR" w:eastAsia="Noto Serif CJK KR"/>
          <w:b w:val="0"/>
          <w:sz w:val="24"/>
        </w:rPr>
        <w:t>반드시 본인의 언어로 수정·재작성하여 제출하시기 바랍니다.</w:t>
      </w:r>
    </w:p>
    <w:p>
      <w:pPr>
        <w:spacing w:after="200"/>
      </w:pPr>
      <w:r>
        <w:rPr>
          <w:rFonts w:ascii="Noto Sans CJK KR" w:hAnsi="Noto Sans CJK KR" w:eastAsia="Noto Sans CJK KR"/>
          <w:b/>
          <w:color w:val="23374B"/>
          <w:sz w:val="30"/>
        </w:rPr>
        <w:t>📌 과제 수정이 어려우신가요?</w:t>
      </w:r>
    </w:p>
    <w:p>
      <w:pPr>
        <w:spacing w:line="384" w:lineRule="auto" w:after="360"/>
      </w:pPr>
      <w:r>
        <w:rPr>
          <w:rFonts w:ascii="Noto Serif CJK KR" w:hAnsi="Noto Serif CJK KR" w:eastAsia="Noto Serif CJK KR"/>
          <w:sz w:val="23"/>
        </w:rPr>
        <w:t>국민원격교육관리센터에서 1:1 과제 수정 도움을 드립니다.</w:t>
        <w:br/>
      </w:r>
      <w:r>
        <w:rPr>
          <w:rFonts w:ascii="Noto Serif CJK KR" w:hAnsi="Noto Serif CJK KR" w:eastAsia="Noto Serif CJK KR"/>
          <w:sz w:val="23"/>
        </w:rPr>
        <w:t>아래 연락처로 문의해 주세요.</w:t>
      </w:r>
    </w:p>
    <w:p>
      <w:pPr>
        <w:spacing w:after="160"/>
      </w:pPr>
      <w:r>
        <w:rPr>
          <w:rFonts w:ascii="Noto Sans CJK KR" w:hAnsi="Noto Sans CJK KR" w:eastAsia="Noto Sans CJK KR"/>
          <w:b/>
          <w:sz w:val="24"/>
        </w:rPr>
        <w:t>📞 전화: 050-7878-7044</w:t>
      </w:r>
    </w:p>
    <w:p>
      <w:pPr>
        <w:spacing w:after="160"/>
      </w:pPr>
      <w:r>
        <w:rPr>
          <w:rFonts w:ascii="Noto Sans CJK KR" w:hAnsi="Noto Sans CJK KR" w:eastAsia="Noto Sans CJK KR"/>
          <w:b/>
          <w:sz w:val="24"/>
        </w:rPr>
        <w:t>💬 카카오톡: @국민원격교육관리센터</w:t>
      </w:r>
    </w:p>
    <w:p>
      <w:pPr>
        <w:spacing w:after="160"/>
      </w:pPr>
      <w:r>
        <w:rPr>
          <w:rFonts w:ascii="Noto Sans CJK KR" w:hAnsi="Noto Sans CJK KR" w:eastAsia="Noto Sans CJK KR"/>
          <w:b w:val="0"/>
          <w:sz w:val="24"/>
        </w:rPr>
        <w:t>🕐 운영시간: 평일 10:00–19:00</w:t>
      </w:r>
    </w:p>
    <w:p>
      <w:pPr>
        <w:spacing w:after="160"/>
      </w:pPr>
      <w:r>
        <w:rPr>
          <w:rFonts w:ascii="Noto Sans CJK KR" w:hAnsi="Noto Sans CJK KR" w:eastAsia="Noto Sans CJK KR"/>
          <w:b w:val="0"/>
          <w:sz w:val="24"/>
        </w:rPr>
        <w:t>🌐 웹사이트: korealms.co.kr</w:t>
      </w:r>
    </w:p>
    <w:sectPr w:rsidR="00FC693F" w:rsidRPr="0006063C" w:rsidSect="00034616">
      <w:footerReference w:type="default" r:id="rId9"/>
      <w:pgSz w:w="12240" w:h="15840"/>
      <w:pgMar w:top="1134" w:right="1247" w:bottom="1020" w:left="124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Noto Sans CJK KR" w:hAnsi="Noto Sans CJK KR" w:eastAsia="Noto Sans CJK KR"/>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