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spacing w:after="480"/>
        <w:jc w:val="center"/>
      </w:pPr>
      <w:r>
        <w:rPr>
          <w:rFonts w:ascii="NanumSquare" w:hAnsi="NanumSquare" w:eastAsia="NanumSquare"/>
          <w:b/>
          <w:color w:val="5A5A5A"/>
          <w:sz w:val="24"/>
        </w:rPr>
        <w:t>위더스평생교육원</w:t>
      </w:r>
    </w:p>
    <w:p>
      <w:pPr>
        <w:spacing w:after="280"/>
        <w:jc w:val="center"/>
      </w:pPr>
      <w:r>
        <w:rPr>
          <w:rFonts w:ascii="NanumSquare" w:hAnsi="NanumSquare" w:eastAsia="NanumSquare"/>
          <w:b/>
          <w:color w:val="1F4E79"/>
          <w:sz w:val="46"/>
        </w:rPr>
        <w:t>경영학개론</w:t>
      </w:r>
    </w:p>
    <w:p>
      <w:pPr>
        <w:spacing w:line="312" w:lineRule="auto" w:after="600"/>
        <w:jc w:val="center"/>
      </w:pPr>
      <w:r>
        <w:rPr>
          <w:rFonts w:ascii="NanumSquare" w:hAnsi="NanumSquare" w:eastAsia="NanumSquare"/>
          <w:b/>
          <w:color w:val="232323"/>
          <w:sz w:val="34"/>
        </w:rPr>
        <w:t>우리나라 기업가 2명 이상의 창업정신,</w:t>
        <w:br/>
        <w:t>기업이념, 경영철학을 조사하고 비교</w:t>
      </w:r>
    </w:p>
    <w:p>
      <w:pPr>
        <w:spacing w:after="240"/>
        <w:jc w:val="center"/>
      </w:pPr>
      <w:r>
        <w:rPr>
          <w:rFonts w:ascii="NanumSquare" w:hAnsi="NanumSquare" w:eastAsia="NanumSquare"/>
          <w:color w:val="1F4E79"/>
          <w:sz w:val="20"/>
        </w:rPr>
        <w:t>━━━━━━━━━━━━━━━━━━━━━━━━━━━━━━</w:t>
      </w:r>
    </w:p>
    <w:p>
      <w:pPr>
        <w:spacing w:after="200"/>
        <w:jc w:val="center"/>
      </w:pPr>
      <w:r>
        <w:rPr>
          <w:rFonts w:ascii="NanumSquare" w:hAnsi="NanumSquare" w:eastAsia="NanumSquare"/>
          <w:b/>
          <w:color w:val="1F4E79"/>
          <w:sz w:val="26"/>
        </w:rPr>
        <w:t>목 차</w:t>
      </w:r>
    </w:p>
    <w:p>
      <w:pPr>
        <w:spacing w:after="80"/>
        <w:ind w:left="2438"/>
        <w:jc w:val="left"/>
      </w:pPr>
      <w:r>
        <w:rPr>
          <w:rFonts w:ascii="NanumSquare" w:hAnsi="NanumSquare" w:eastAsia="NanumSquare"/>
          <w:b/>
          <w:sz w:val="21"/>
        </w:rPr>
        <w:t>Ⅰ. 서론</w:t>
      </w:r>
    </w:p>
    <w:p>
      <w:pPr>
        <w:spacing w:after="80"/>
        <w:ind w:left="2438"/>
        <w:jc w:val="left"/>
      </w:pPr>
      <w:r>
        <w:rPr>
          <w:rFonts w:ascii="NanumSquare" w:hAnsi="NanumSquare" w:eastAsia="NanumSquare"/>
          <w:b/>
          <w:sz w:val="21"/>
        </w:rPr>
        <w:t>Ⅱ. 본론</w:t>
      </w:r>
    </w:p>
    <w:p>
      <w:pPr>
        <w:spacing w:after="80"/>
        <w:ind w:left="2438"/>
        <w:jc w:val="left"/>
      </w:pPr>
      <w:r>
        <w:rPr>
          <w:rFonts w:ascii="NanumSquare" w:hAnsi="NanumSquare" w:eastAsia="NanumSquare"/>
          <w:b w:val="0"/>
          <w:sz w:val="21"/>
        </w:rPr>
        <w:t xml:space="preserve">   1. 기업가정신·기업이념·경영철학의 개념</w:t>
      </w:r>
    </w:p>
    <w:p>
      <w:pPr>
        <w:spacing w:after="80"/>
        <w:ind w:left="2438"/>
        <w:jc w:val="left"/>
      </w:pPr>
      <w:r>
        <w:rPr>
          <w:rFonts w:ascii="NanumSquare" w:hAnsi="NanumSquare" w:eastAsia="NanumSquare"/>
          <w:b w:val="0"/>
          <w:sz w:val="21"/>
        </w:rPr>
        <w:t xml:space="preserve">   2. 정주영 창업자의 창업정신과 경영철학</w:t>
      </w:r>
    </w:p>
    <w:p>
      <w:pPr>
        <w:spacing w:after="80"/>
        <w:ind w:left="2438"/>
        <w:jc w:val="left"/>
      </w:pPr>
      <w:r>
        <w:rPr>
          <w:rFonts w:ascii="NanumSquare" w:hAnsi="NanumSquare" w:eastAsia="NanumSquare"/>
          <w:b w:val="0"/>
          <w:sz w:val="21"/>
        </w:rPr>
        <w:t xml:space="preserve">   3. 이병철 창업자의 창업정신과 경영철학</w:t>
      </w:r>
    </w:p>
    <w:p>
      <w:pPr>
        <w:spacing w:after="80"/>
        <w:ind w:left="2438"/>
        <w:jc w:val="left"/>
      </w:pPr>
      <w:r>
        <w:rPr>
          <w:rFonts w:ascii="NanumSquare" w:hAnsi="NanumSquare" w:eastAsia="NanumSquare"/>
          <w:b w:val="0"/>
          <w:sz w:val="21"/>
        </w:rPr>
        <w:t xml:space="preserve">   4. 두 창업자의 비교</w:t>
      </w:r>
    </w:p>
    <w:p>
      <w:pPr>
        <w:spacing w:after="80"/>
        <w:ind w:left="2438"/>
        <w:jc w:val="left"/>
      </w:pPr>
      <w:r>
        <w:rPr>
          <w:rFonts w:ascii="NanumSquare" w:hAnsi="NanumSquare" w:eastAsia="NanumSquare"/>
          <w:b w:val="0"/>
          <w:sz w:val="21"/>
        </w:rPr>
        <w:t xml:space="preserve">   5. 오늘날 경영에 주는 시사점</w:t>
      </w:r>
    </w:p>
    <w:p>
      <w:pPr>
        <w:spacing w:after="80"/>
        <w:ind w:left="2438"/>
        <w:jc w:val="left"/>
      </w:pPr>
      <w:r>
        <w:rPr>
          <w:rFonts w:ascii="NanumSquare" w:hAnsi="NanumSquare" w:eastAsia="NanumSquare"/>
          <w:b/>
          <w:sz w:val="21"/>
        </w:rPr>
        <w:t>Ⅲ. 결론</w:t>
      </w:r>
    </w:p>
    <w:p>
      <w:pPr>
        <w:spacing w:after="80"/>
        <w:ind w:left="2438"/>
        <w:jc w:val="left"/>
      </w:pPr>
      <w:r>
        <w:rPr>
          <w:rFonts w:ascii="NanumSquare" w:hAnsi="NanumSquare" w:eastAsia="NanumSquare"/>
          <w:b/>
          <w:sz w:val="21"/>
        </w:rPr>
        <w:t>Ⅳ. 참고문헌</w:t>
      </w:r>
    </w:p>
    <w:p>
      <w:r>
        <w:br w:type="page"/>
      </w:r>
    </w:p>
    <w:p>
      <w:pPr>
        <w:spacing w:after="80"/>
        <w:jc w:val="center"/>
      </w:pPr>
      <w:r>
        <w:rPr>
          <w:rFonts w:ascii="NanumSquare" w:hAnsi="NanumSquare" w:eastAsia="NanumSquare"/>
          <w:b/>
          <w:color w:val="1F4E79"/>
          <w:sz w:val="30"/>
        </w:rPr>
        <w:t>Ⅰ. 서론</w:t>
      </w:r>
    </w:p>
    <w:p>
      <w:pPr>
        <w:spacing w:before="0" w:after="120" w:line="355" w:lineRule="auto"/>
        <w:ind w:firstLine="397"/>
        <w:jc w:val="both"/>
      </w:pPr>
      <w:r>
        <w:rPr>
          <w:rFonts w:ascii="NanumSquare" w:hAnsi="NanumSquare" w:eastAsia="NanumSquare"/>
          <w:sz w:val="21"/>
        </w:rPr>
        <w:t>기업의 성장은 자본이나 기술만으로 설명하기 어렵다. 특히 창업 초기에는 불확실성이 높고 활용 가능한 자원이 제한되어 있기 때문에 창업자가 어떤 기회를 발견하고, 위험을 감수하며, 조직의 방향을 결정하는지가 기업의 성격을 좌우한다. 이러한 관점에서 기업가정신은 단순히 회사를 세우는 행위가 아니라 새로운 기회를 발견하고 자원을 결합하여 가치를 만들어 내는 태도와 행동의 체계라고 볼 수 있다. 슘페터는 기업가를 기존의 생산방식을 깨뜨리고 새로운 결합을 실현하는 혁신의 주체로 설명하였고(Schumpeter, 1934), 드러커는 변화 자체를 기회로 전환하는 실천적 혁신을 기업가정신의 핵심으로 보았다(Drucker, 1985).</w:t>
      </w:r>
    </w:p>
    <w:p>
      <w:pPr>
        <w:spacing w:before="0" w:after="120" w:line="355" w:lineRule="auto"/>
        <w:ind w:firstLine="397"/>
        <w:jc w:val="both"/>
      </w:pPr>
      <w:r>
        <w:rPr>
          <w:rFonts w:ascii="NanumSquare" w:hAnsi="NanumSquare" w:eastAsia="NanumSquare"/>
          <w:sz w:val="21"/>
        </w:rPr>
        <w:t>우리나라의 산업화 과정에서도 창업자의 역할은 매우 컸다. 전쟁 이후 산업기반과 자본이 부족했던 시기에 기업가들은 국내 시장의 형성뿐 아니라 해외시장 개척, 중화학공업 진출, 기술투자와 인재육성 등을 통해 경제성장의 한 축을 담당하였다. 그 가운데 현대의 창업자 정주영과 삼성의 창업자 이병철은 서로 다른 성향과 의사결정 방식으로 대규모 기업집단을 성장시킨 대표적 사례이다. 정주영은 실행과 도전, 현장 중심의 문제해결을 강조한 반면, 이병철은 장기적 사업선택, 인재육성, 합리적 관리체계를 중시하였다. 두 사람은 접근 방식에서는 차이가 있었지만 기업을 국가와 사회의 발전에 기여하는 조직으로 인식했다는 공통점도 확인된다.</w:t>
      </w:r>
    </w:p>
    <w:p>
      <w:pPr>
        <w:spacing w:before="0" w:after="120" w:line="355" w:lineRule="auto"/>
        <w:ind w:firstLine="397"/>
        <w:jc w:val="both"/>
      </w:pPr>
      <w:r>
        <w:rPr>
          <w:rFonts w:ascii="NanumSquare" w:hAnsi="NanumSquare" w:eastAsia="NanumSquare"/>
          <w:sz w:val="21"/>
        </w:rPr>
        <w:t>본 과제에서는 두 창업자의 창업정신, 기업이념, 경영철학을 각각 살펴본 뒤 공통점과 차이점을 비교하고자 한다. 또한 과거의 성공 경험을 그대로 모방하기보다는 오늘날의 디지털 전환, 글로벌 경쟁, ESG 경영, 이해관계자 중심 경영이라는 환경에서 어떤 요소를 계승하고 어떤 부분을 재해석해야 하는지 검토한다. 이를 통해 기업가정신이 특정 인물의 성공담에 머무르지 않고 현대 조직의 혁신과 지속가능한 가치창출에 어떻게 연결될 수 있는지 논의하고자 한다.</w:t>
      </w:r>
    </w:p>
    <w:p>
      <w:pPr>
        <w:keepNext/>
        <w:spacing w:before="160" w:after="100"/>
        <w:jc w:val="left"/>
      </w:pPr>
      <w:r>
        <w:rPr>
          <w:rFonts w:ascii="NanumSquare" w:hAnsi="NanumSquare" w:eastAsia="NanumSquare"/>
          <w:b/>
          <w:color w:val="1F4E79"/>
          <w:sz w:val="28"/>
        </w:rPr>
        <w:t>Ⅱ. 본론</w:t>
      </w:r>
    </w:p>
    <w:p>
      <w:pPr>
        <w:keepNext/>
        <w:spacing w:before="100" w:after="100"/>
        <w:jc w:val="left"/>
      </w:pPr>
      <w:r>
        <w:rPr>
          <w:rFonts w:ascii="NanumSquare" w:hAnsi="NanumSquare" w:eastAsia="NanumSquare"/>
          <w:b/>
          <w:color w:val="303030"/>
          <w:sz w:val="23"/>
        </w:rPr>
        <w:t>1. 기업가정신·기업이념·경영철학의 개념</w:t>
      </w:r>
    </w:p>
    <w:p>
      <w:pPr>
        <w:spacing w:before="0" w:after="120" w:line="355" w:lineRule="auto"/>
        <w:ind w:firstLine="397"/>
        <w:jc w:val="both"/>
      </w:pPr>
      <w:r>
        <w:rPr>
          <w:rFonts w:ascii="NanumSquare" w:hAnsi="NanumSquare" w:eastAsia="NanumSquare"/>
          <w:sz w:val="21"/>
        </w:rPr>
        <w:t>기업가정신은 기회를 인식하고 불확실성을 감수하며 새로운 가치를 창출하려는 지향성과 행동을 의미한다. 여기에는 혁신성, 진취성, 위험감수성, 실행력과 같은 요소가 포함된다. 기업가정신이 창업자의 행동과 의사결정 특성에 초점을 둔다면, 기업이념은 조직이 존재하는 이유와 사회적으로 추구하는 가치에 가깝다. 즉 “무엇을 위해 기업이 존재하는가”에 대한 조직 차원의 답이라고 할 수 있다. 경영철학은 이러한 이념을 실제 의사결정과 조직운영에 적용하는 보다 구체적인 원칙으로, 인재를 어떻게 바라보는지, 투자와 위험을 어떤 기준으로 판단하는지, 고객과 사회에 어떤 책임을 지는지 등에 드러난다.</w:t>
      </w:r>
    </w:p>
    <w:p>
      <w:pPr>
        <w:spacing w:before="0" w:after="120" w:line="355" w:lineRule="auto"/>
        <w:ind w:firstLine="397"/>
        <w:jc w:val="both"/>
      </w:pPr>
      <w:r>
        <w:rPr>
          <w:rFonts w:ascii="NanumSquare" w:hAnsi="NanumSquare" w:eastAsia="NanumSquare"/>
          <w:sz w:val="21"/>
        </w:rPr>
        <w:t>따라서 세 개념은 서로 분리되어 있지 않다. 창업자의 기업가정신이 반복적인 의사결정을 통해 조직의 가치로 정착하면 기업이념이 되고, 그 이념이 채용·투자·품질·조직문화 등 경영활동에 적용되면 경영철학으로 구체화된다. 정주영과 이병철을 비교할 때에도 단순히 유명한 어록을 나열하기보다 실제 사업 선택과 조직운영에서 어떠한 일관된 원칙이 나타났는지를 중심으로 살펴볼 필요가 있다.</w:t>
      </w:r>
    </w:p>
    <w:p>
      <w:r>
        <w:br w:type="page"/>
      </w:r>
    </w:p>
    <w:p>
      <w:pPr>
        <w:spacing w:after="80"/>
        <w:jc w:val="center"/>
      </w:pPr>
      <w:r>
        <w:rPr>
          <w:rFonts w:ascii="NanumSquare" w:hAnsi="NanumSquare" w:eastAsia="NanumSquare"/>
          <w:b/>
          <w:color w:val="1F4E79"/>
          <w:sz w:val="30"/>
        </w:rPr>
        <w:t>Ⅱ. 본론</w:t>
      </w:r>
    </w:p>
    <w:p>
      <w:pPr>
        <w:spacing w:after="240"/>
        <w:jc w:val="center"/>
      </w:pPr>
      <w:r>
        <w:rPr>
          <w:rFonts w:ascii="NanumSquare" w:hAnsi="NanumSquare" w:eastAsia="NanumSquare"/>
          <w:color w:val="646464"/>
          <w:sz w:val="19"/>
        </w:rPr>
        <w:t>정주영 창업자의 창업정신과 경영철학</w:t>
      </w:r>
    </w:p>
    <w:p>
      <w:pPr>
        <w:keepNext/>
        <w:spacing w:before="160" w:after="100"/>
        <w:jc w:val="left"/>
      </w:pPr>
      <w:r>
        <w:rPr>
          <w:rFonts w:ascii="NanumSquare" w:hAnsi="NanumSquare" w:eastAsia="NanumSquare"/>
          <w:b/>
          <w:color w:val="1F4E79"/>
          <w:sz w:val="28"/>
        </w:rPr>
        <w:t>2. 정주영 창업자의 창업정신과 경영철학</w:t>
      </w:r>
    </w:p>
    <w:p>
      <w:pPr>
        <w:keepNext/>
        <w:spacing w:before="100" w:after="100"/>
        <w:jc w:val="left"/>
      </w:pPr>
      <w:r>
        <w:rPr>
          <w:rFonts w:ascii="NanumSquare" w:hAnsi="NanumSquare" w:eastAsia="NanumSquare"/>
          <w:b/>
          <w:color w:val="303030"/>
          <w:sz w:val="23"/>
        </w:rPr>
        <w:t>2.1 창업정신: 실행, 도전, 현장 중심의 문제해결</w:t>
      </w:r>
    </w:p>
    <w:p>
      <w:pPr>
        <w:spacing w:before="0" w:after="120" w:line="355" w:lineRule="auto"/>
        <w:ind w:firstLine="397"/>
        <w:jc w:val="both"/>
      </w:pPr>
      <w:r>
        <w:rPr>
          <w:rFonts w:ascii="NanumSquare" w:hAnsi="NanumSquare" w:eastAsia="NanumSquare"/>
          <w:sz w:val="21"/>
        </w:rPr>
        <w:t>정주영의 기업가정신을 가장 잘 설명하는 요소는 실행력과 도전정신이다. 아산나눔재단은 정주영을 한국전쟁 이후의 폐허 속에서 현대자동차와 현대중공업 등을 창설하고, 현대건설을 통해 국내외 대형 공사를 수행한 창조적 기업가로 소개한다. 그의 창업정신은 완벽한 조건이 갖추어질 때까지 기다리기보다 가능한 자원을 활용하여 먼저 실행하고, 실행 과정에서 생기는 문제를 현장에서 해결하는 방식으로 나타났다. 이러한 태도는 불확실성이 큰 신사업이나 해외시장 진출에서 특히 강점을 보였다.</w:t>
      </w:r>
    </w:p>
    <w:p>
      <w:pPr>
        <w:spacing w:before="0" w:after="120" w:line="355" w:lineRule="auto"/>
        <w:ind w:firstLine="397"/>
        <w:jc w:val="both"/>
      </w:pPr>
      <w:r>
        <w:rPr>
          <w:rFonts w:ascii="NanumSquare" w:hAnsi="NanumSquare" w:eastAsia="NanumSquare"/>
          <w:sz w:val="21"/>
        </w:rPr>
        <w:t>대표적인 사례로 자동차와 조선산업 진출을 들 수 있다. 당시 한국은 기술과 자본, 산업 경험이 부족했지만 정주영은 시장의 성장 가능성과 국가 산업화의 필요성을 기회로 보았다. 조선업의 경우 완성된 조선소와 충분한 실적이 없는 상태에서 해외 자금과 수주를 동시에 확보해야 하는 높은 불확실성을 감수하였다. 이 과정에서 나타난 것은 단순한 낙관주의가 아니라 목표를 정한 뒤 필요한 사람과 자원을 빠르게 연결하고 실행을 통해 신뢰를 만들어 가는 기업가적 행동이었다. 정주영의 회고록 역시 현대의 성장과정을 성실, 신용, 시간과 행동, 개척의 관점에서 서술하고 있다(정주영, 2015).</w:t>
      </w:r>
    </w:p>
    <w:p>
      <w:pPr>
        <w:keepNext/>
        <w:spacing w:before="100" w:after="100"/>
        <w:jc w:val="left"/>
      </w:pPr>
      <w:r>
        <w:rPr>
          <w:rFonts w:ascii="NanumSquare" w:hAnsi="NanumSquare" w:eastAsia="NanumSquare"/>
          <w:b/>
          <w:color w:val="303030"/>
          <w:sz w:val="23"/>
        </w:rPr>
        <w:t>2.2 기업이념: 산업발전과 사회적 기여</w:t>
      </w:r>
    </w:p>
    <w:p>
      <w:pPr>
        <w:spacing w:before="0" w:after="120" w:line="355" w:lineRule="auto"/>
        <w:ind w:firstLine="397"/>
        <w:jc w:val="both"/>
      </w:pPr>
      <w:r>
        <w:rPr>
          <w:rFonts w:ascii="NanumSquare" w:hAnsi="NanumSquare" w:eastAsia="NanumSquare"/>
          <w:sz w:val="21"/>
        </w:rPr>
        <w:t>정주영에게 기업의 목적은 사적 이윤의 축적에만 머무르지 않았다. 그는 기업 활동을 통해 국가의 산업기반을 넓히고 국민의 생활 수준을 높이는 것을 중요하게 보았다. 건설, 자동차, 조선 등 국가 기간산업에 집중한 사업구조는 이러한 관점과 연결된다. 또한 기업이윤의 사회환원이라는 신념을 바탕으로 1977년 아산사회복지재단을 설립하여 의료, 복지, 장학, 학술 지원사업을 전개하였다. 이는 기업의 성장을 사회적 책임과 연결하려는 이념이 실제 제도와 사업으로 구현된 사례라 할 수 있다.</w:t>
      </w:r>
    </w:p>
    <w:p>
      <w:pPr>
        <w:keepNext/>
        <w:spacing w:before="100" w:after="100"/>
        <w:jc w:val="left"/>
      </w:pPr>
      <w:r>
        <w:rPr>
          <w:rFonts w:ascii="NanumSquare" w:hAnsi="NanumSquare" w:eastAsia="NanumSquare"/>
          <w:b/>
          <w:color w:val="303030"/>
          <w:sz w:val="23"/>
        </w:rPr>
        <w:t>2.3 경영철학: 신용, 근면, 속도, 책임</w:t>
      </w:r>
    </w:p>
    <w:p>
      <w:pPr>
        <w:spacing w:before="0" w:after="120" w:line="355" w:lineRule="auto"/>
        <w:ind w:firstLine="397"/>
        <w:jc w:val="both"/>
      </w:pPr>
      <w:r>
        <w:rPr>
          <w:rFonts w:ascii="NanumSquare" w:hAnsi="NanumSquare" w:eastAsia="NanumSquare"/>
          <w:sz w:val="21"/>
        </w:rPr>
        <w:t>정주영의 경영철학은 첫째, 신용을 중요한 무형자산으로 보는 태도에서 나타난다. 기업이 약속한 공사기간과 품질을 지키는 것은 다음 사업의 기회를 확보하는 기반이기 때문이다. 둘째, 현장을 중시하였다. 보고서와 계획만으로 문제를 판단하기보다 실제 현장에서 원인을 확인하고 해결책을 찾는 방식을 선호하였다. 셋째, 빠른 의사결정과 책임 있는 실행을 강조하였다. 기회를 발견했을 때 지나치게 많은 조건을 따지기보다 핵심 위험을 판단한 후 과감하게 실행하는 방식이다. 넷째, 실패를 종착점이 아니라 다음 시도를 위한 경험으로 보는 태도가 강했다. 이러한 철학은 자원이 부족한 성장기에는 높은 추진력을 만들었지만, 오늘날에는 내부통제, 안전, 이해관계자 의견수렴과 결합되어야 지속가능한 방식으로 계승될 수 있다.</w:t>
      </w:r>
    </w:p>
    <w:p>
      <w:r>
        <w:br w:type="page"/>
      </w:r>
    </w:p>
    <w:p>
      <w:pPr>
        <w:spacing w:after="80"/>
        <w:jc w:val="center"/>
      </w:pPr>
      <w:r>
        <w:rPr>
          <w:rFonts w:ascii="NanumSquare" w:hAnsi="NanumSquare" w:eastAsia="NanumSquare"/>
          <w:b/>
          <w:color w:val="1F4E79"/>
          <w:sz w:val="30"/>
        </w:rPr>
        <w:t>Ⅱ. 본론</w:t>
      </w:r>
    </w:p>
    <w:p>
      <w:pPr>
        <w:spacing w:after="240"/>
        <w:jc w:val="center"/>
      </w:pPr>
      <w:r>
        <w:rPr>
          <w:rFonts w:ascii="NanumSquare" w:hAnsi="NanumSquare" w:eastAsia="NanumSquare"/>
          <w:color w:val="646464"/>
          <w:sz w:val="19"/>
        </w:rPr>
        <w:t>이병철 창업자의 창업정신과 경영철학</w:t>
      </w:r>
    </w:p>
    <w:p>
      <w:pPr>
        <w:keepNext/>
        <w:spacing w:before="160" w:after="100"/>
        <w:jc w:val="left"/>
      </w:pPr>
      <w:r>
        <w:rPr>
          <w:rFonts w:ascii="NanumSquare" w:hAnsi="NanumSquare" w:eastAsia="NanumSquare"/>
          <w:b/>
          <w:color w:val="1F4E79"/>
          <w:sz w:val="28"/>
        </w:rPr>
        <w:t>3. 이병철 창업자의 창업정신과 경영철학</w:t>
      </w:r>
    </w:p>
    <w:p>
      <w:pPr>
        <w:keepNext/>
        <w:spacing w:before="100" w:after="100"/>
        <w:jc w:val="left"/>
      </w:pPr>
      <w:r>
        <w:rPr>
          <w:rFonts w:ascii="NanumSquare" w:hAnsi="NanumSquare" w:eastAsia="NanumSquare"/>
          <w:b/>
          <w:color w:val="303030"/>
          <w:sz w:val="23"/>
        </w:rPr>
        <w:t>3.1 창업정신: 장기적 사업선택과 선제적 투자</w:t>
      </w:r>
    </w:p>
    <w:p>
      <w:pPr>
        <w:spacing w:before="0" w:after="120" w:line="355" w:lineRule="auto"/>
        <w:ind w:firstLine="397"/>
        <w:jc w:val="both"/>
      </w:pPr>
      <w:r>
        <w:rPr>
          <w:rFonts w:ascii="NanumSquare" w:hAnsi="NanumSquare" w:eastAsia="NanumSquare"/>
          <w:sz w:val="21"/>
        </w:rPr>
        <w:t>이병철의 기업가정신은 장기적인 산업 전망을 바탕으로 사업을 선택하고, 선택한 분야에 인재와 자본을 집중하는 방식에서 두드러진다. 1938년 삼성상회로 출발한 이후 무역, 제조, 전자 등으로 사업영역을 확장하였으며, 특히 1980년대 반도체산업 진출은 높은 기술위험과 대규모 자본투자가 필요한 결정이었다. 호암재단은 이병철이 반도체사업 진출을 통해 우리나라 첨단산업의 발전 기반을 마련했다고 평가한다. 이는 당장의 시장 규모보다 미래 산업구조의 변화를 읽고 선제적으로 자원을 배분한 전략적 기업가정신의 사례로 볼 수 있다.</w:t>
      </w:r>
    </w:p>
    <w:p>
      <w:pPr>
        <w:spacing w:before="0" w:after="120" w:line="355" w:lineRule="auto"/>
        <w:ind w:firstLine="397"/>
        <w:jc w:val="both"/>
      </w:pPr>
      <w:r>
        <w:rPr>
          <w:rFonts w:ascii="NanumSquare" w:hAnsi="NanumSquare" w:eastAsia="NanumSquare"/>
          <w:sz w:val="21"/>
        </w:rPr>
        <w:t>황명수(2005)는 이병철의 기업 활동을 기업가정신과 경영철학의 관점에서 분석하면서 삼성의 성장 과정에서 산업 선택과 조직관리의 일관성이 중요하게 작용했음을 제시한다. 이병철은 사업 진출 여부를 판단할 때 국가에 필요한 산업인지, 장기적으로 경쟁력을 확보할 수 있는지, 필요한 인재와 기술을 육성할 수 있는지 등을 중시하였다. 따라서 그의 창업정신은 정주영처럼 현장에서 기회를 즉각 실행하는 성격보다는 분석과 준비를 바탕으로 장기적 가능성에 투자하는 성격이 강했다고 평가할 수 있다.</w:t>
      </w:r>
    </w:p>
    <w:p>
      <w:pPr>
        <w:keepNext/>
        <w:spacing w:before="100" w:after="100"/>
        <w:jc w:val="left"/>
      </w:pPr>
      <w:r>
        <w:rPr>
          <w:rFonts w:ascii="NanumSquare" w:hAnsi="NanumSquare" w:eastAsia="NanumSquare"/>
          <w:b/>
          <w:color w:val="303030"/>
          <w:sz w:val="23"/>
        </w:rPr>
        <w:t>3.2 기업이념: 사업보국</w:t>
      </w:r>
    </w:p>
    <w:p>
      <w:pPr>
        <w:spacing w:before="0" w:after="120" w:line="355" w:lineRule="auto"/>
        <w:ind w:firstLine="397"/>
        <w:jc w:val="both"/>
      </w:pPr>
      <w:r>
        <w:rPr>
          <w:rFonts w:ascii="NanumSquare" w:hAnsi="NanumSquare" w:eastAsia="NanumSquare"/>
          <w:sz w:val="21"/>
        </w:rPr>
        <w:t>이병철의 기업이념을 대표하는 개념은 사업보국이다. 이는 기업의 사업활동을 통해 국가 발전에 기여한다는 의미로, 기업 성장과 국가 산업발전을 연결하는 관점이다. 호암재단은 이병철의 경영철학을 사업보국, 인재제일, 합리추구의 세 축으로 정리한다. 사업보국은 단순한 구호가 아니라 당시 국내에서 부족했던 제조업과 기술산업에 투자하고, 기업을 통해 고용과 생산능력을 확대하는 방향으로 나타났다. 이 점에서 정주영의 산업보국적 관점과 공통성이 있으나, 삼성에서는 이를 보다 명문화된 경영이념으로 체계화했다는 특징이 있다.</w:t>
      </w:r>
    </w:p>
    <w:p>
      <w:pPr>
        <w:keepNext/>
        <w:spacing w:before="100" w:after="100"/>
        <w:jc w:val="left"/>
      </w:pPr>
      <w:r>
        <w:rPr>
          <w:rFonts w:ascii="NanumSquare" w:hAnsi="NanumSquare" w:eastAsia="NanumSquare"/>
          <w:b/>
          <w:color w:val="303030"/>
          <w:sz w:val="23"/>
        </w:rPr>
        <w:t>3.3 경영철학: 인재제일과 합리추구</w:t>
      </w:r>
    </w:p>
    <w:p>
      <w:pPr>
        <w:spacing w:before="0" w:after="120" w:line="355" w:lineRule="auto"/>
        <w:ind w:firstLine="397"/>
        <w:jc w:val="both"/>
      </w:pPr>
      <w:r>
        <w:rPr>
          <w:rFonts w:ascii="NanumSquare" w:hAnsi="NanumSquare" w:eastAsia="NanumSquare"/>
          <w:sz w:val="21"/>
        </w:rPr>
        <w:t>인재제일은 사람을 기업 성장의 핵심 자원으로 보는 철학이다. 자본과 기술이 부족한 상황에서 우수한 인재를 선발하고 교육하여 조직의 역량을 높이는 것이 장기적 경쟁력의 원천이라는 판단이다. 호암재단은 이병철이 독자적인 기업 교육체계를 마련하고 연수원을 건립하는 등 인재육성에 큰 비중을 두었다고 설명한다. 이는 개인의 경험과 직관에 의존하기보다 조직 전체가 학습하고 전문성을 축적할 수 있는 시스템을 만들려는 접근이었다.</w:t>
      </w:r>
    </w:p>
    <w:p>
      <w:pPr>
        <w:spacing w:before="0" w:after="120" w:line="355" w:lineRule="auto"/>
        <w:ind w:firstLine="397"/>
        <w:jc w:val="both"/>
      </w:pPr>
      <w:r>
        <w:rPr>
          <w:rFonts w:ascii="NanumSquare" w:hAnsi="NanumSquare" w:eastAsia="NanumSquare"/>
          <w:sz w:val="21"/>
        </w:rPr>
        <w:t>합리추구는 의사결정과 경영활동을 객관적 근거와 효율성에 기반하여 수행해야 한다는 원칙이다. 사업보국이나 인재제일이 가치적 방향을 제시한다면, 합리추구는 그 가치를 실제 경영과정에서 실현하는 방법론에 가깝다. 시장성과 기술성, 투자효율, 조직의 책임체계를 따져 의사결정을 내리고 전문경영과 관리제도를 강화하는 방식이 이에 해당한다. 이러한 철학은 기업 규모가 커질수록 필요한 표준화와 시스템 경영에 유리하지만, 지나친 절차 중심 운영은 변화가 빠른 환경에서 속도를 떨어뜨릴 수 있으므로 민첩성과의 균형이 필요하다.</w:t>
      </w:r>
    </w:p>
    <w:p>
      <w:r>
        <w:br w:type="page"/>
      </w:r>
    </w:p>
    <w:p>
      <w:pPr>
        <w:spacing w:after="80"/>
        <w:jc w:val="center"/>
      </w:pPr>
      <w:r>
        <w:rPr>
          <w:rFonts w:ascii="NanumSquare" w:hAnsi="NanumSquare" w:eastAsia="NanumSquare"/>
          <w:b/>
          <w:color w:val="1F4E79"/>
          <w:sz w:val="30"/>
        </w:rPr>
        <w:t>Ⅱ. 본론</w:t>
      </w:r>
    </w:p>
    <w:p>
      <w:pPr>
        <w:spacing w:after="240"/>
        <w:jc w:val="center"/>
      </w:pPr>
      <w:r>
        <w:rPr>
          <w:rFonts w:ascii="NanumSquare" w:hAnsi="NanumSquare" w:eastAsia="NanumSquare"/>
          <w:color w:val="646464"/>
          <w:sz w:val="19"/>
        </w:rPr>
        <w:t>두 창업자의 비교와 현대적 시사점</w:t>
      </w:r>
    </w:p>
    <w:p>
      <w:pPr>
        <w:keepNext/>
        <w:spacing w:before="160" w:after="100"/>
        <w:jc w:val="left"/>
      </w:pPr>
      <w:r>
        <w:rPr>
          <w:rFonts w:ascii="NanumSquare" w:hAnsi="NanumSquare" w:eastAsia="NanumSquare"/>
          <w:b/>
          <w:color w:val="1F4E79"/>
          <w:sz w:val="28"/>
        </w:rPr>
        <w:t>4. 두 창업자의 비교</w:t>
      </w:r>
    </w:p>
    <w:p>
      <w:pPr>
        <w:spacing w:before="0" w:after="120" w:line="355" w:lineRule="auto"/>
        <w:ind w:firstLine="397"/>
        <w:jc w:val="both"/>
      </w:pPr>
      <w:r>
        <w:rPr>
          <w:rFonts w:ascii="NanumSquare" w:hAnsi="NanumSquare" w:eastAsia="NanumSquare"/>
          <w:sz w:val="21"/>
        </w:rPr>
        <w:t>정주영과 이병철은 모두 전후 산업화 과정에서 새로운 산업을 개척하고 대규모 기업을 성장시켰다는 공통점이 있다. 또한 기업의 역할을 개인적 부의 축적보다 국가경제와 사회발전에 연결해 이해했다. 그러나 사업 기회를 판단하고 조직을 운영하는 방식에서는 분명한 차이가 있었다. 정주영이 행동과 현장, 속도와 돌파력에 강점을 보였다면, 이병철은 인재와 제도, 장기적 산업선택과 합리적 관리체계를 중시하였다. 아래 표는 두 사람의 특징을 비교한 것이다.</w:t>
      </w:r>
    </w:p>
    <w:tbl>
      <w:tblPr>
        <w:tblStyle w:val="TableGrid"/>
        <w:tblW w:type="auto" w:w="0"/>
        <w:jc w:val="center"/>
        <w:tblLook w:firstColumn="1" w:firstRow="1" w:lastColumn="0" w:lastRow="0" w:noHBand="0" w:noVBand="1" w:val="04A0"/>
      </w:tblPr>
      <w:tblGrid>
        <w:gridCol w:w="2353"/>
        <w:gridCol w:w="2353"/>
        <w:gridCol w:w="2353"/>
        <w:gridCol w:w="2353"/>
      </w:tblGrid>
      <w:tr>
        <w:tc>
          <w:tcPr>
            <w:tcW w:type="dxa" w:w="1701"/>
            <w:vAlign w:val="center"/>
            <w:shd w:fill="D9EAF7"/>
            <w:tcMar>
              <w:top w:w="90" w:type="dxa"/>
              <w:start w:w="90" w:type="dxa"/>
              <w:bottom w:w="90" w:type="dxa"/>
              <w:end w:w="90" w:type="dxa"/>
            </w:tcMar>
          </w:tcPr>
          <w:p>
            <w:pPr>
              <w:jc w:val="center"/>
            </w:pPr>
            <w:r>
              <w:rPr>
                <w:rFonts w:ascii="NanumSquare" w:hAnsi="NanumSquare" w:eastAsia="NanumSquare"/>
                <w:b/>
                <w:sz w:val="18"/>
              </w:rPr>
              <w:t>비교 기준</w:t>
            </w:r>
          </w:p>
        </w:tc>
        <w:tc>
          <w:tcPr>
            <w:tcW w:type="dxa" w:w="2665"/>
            <w:vAlign w:val="center"/>
            <w:shd w:fill="D9EAF7"/>
            <w:tcMar>
              <w:top w:w="90" w:type="dxa"/>
              <w:start w:w="90" w:type="dxa"/>
              <w:bottom w:w="90" w:type="dxa"/>
              <w:end w:w="90" w:type="dxa"/>
            </w:tcMar>
          </w:tcPr>
          <w:p>
            <w:pPr>
              <w:jc w:val="center"/>
            </w:pPr>
            <w:r>
              <w:rPr>
                <w:rFonts w:ascii="NanumSquare" w:hAnsi="NanumSquare" w:eastAsia="NanumSquare"/>
                <w:b/>
                <w:sz w:val="18"/>
              </w:rPr>
              <w:t>정주영</w:t>
            </w:r>
          </w:p>
        </w:tc>
        <w:tc>
          <w:tcPr>
            <w:tcW w:type="dxa" w:w="2665"/>
            <w:vAlign w:val="center"/>
            <w:shd w:fill="D9EAF7"/>
            <w:tcMar>
              <w:top w:w="90" w:type="dxa"/>
              <w:start w:w="90" w:type="dxa"/>
              <w:bottom w:w="90" w:type="dxa"/>
              <w:end w:w="90" w:type="dxa"/>
            </w:tcMar>
          </w:tcPr>
          <w:p>
            <w:pPr>
              <w:jc w:val="center"/>
            </w:pPr>
            <w:r>
              <w:rPr>
                <w:rFonts w:ascii="NanumSquare" w:hAnsi="NanumSquare" w:eastAsia="NanumSquare"/>
                <w:b/>
                <w:sz w:val="18"/>
              </w:rPr>
              <w:t>이병철</w:t>
            </w:r>
          </w:p>
        </w:tc>
        <w:tc>
          <w:tcPr>
            <w:tcW w:type="dxa" w:w="2381"/>
            <w:vAlign w:val="center"/>
            <w:shd w:fill="D9EAF7"/>
            <w:tcMar>
              <w:top w:w="90" w:type="dxa"/>
              <w:start w:w="90" w:type="dxa"/>
              <w:bottom w:w="90" w:type="dxa"/>
              <w:end w:w="90" w:type="dxa"/>
            </w:tcMar>
          </w:tcPr>
          <w:p>
            <w:pPr>
              <w:jc w:val="center"/>
            </w:pPr>
            <w:r>
              <w:rPr>
                <w:rFonts w:ascii="NanumSquare" w:hAnsi="NanumSquare" w:eastAsia="NanumSquare"/>
                <w:b/>
                <w:sz w:val="18"/>
              </w:rPr>
              <w:t>비교 해석</w:t>
            </w:r>
          </w:p>
        </w:tc>
      </w:tr>
      <w:tr>
        <w:tc>
          <w:tcPr>
            <w:tcW w:type="dxa" w:w="1701"/>
            <w:vAlign w:val="center"/>
            <w:tcMar>
              <w:top w:w="70" w:type="dxa"/>
              <w:start w:w="70" w:type="dxa"/>
              <w:bottom w:w="70" w:type="dxa"/>
              <w:end w:w="70" w:type="dxa"/>
            </w:tcMar>
          </w:tcPr>
          <w:p>
            <w:pPr>
              <w:spacing w:after="0" w:line="276" w:lineRule="auto"/>
              <w:jc w:val="center"/>
            </w:pPr>
            <w:r>
              <w:rPr>
                <w:rFonts w:ascii="NanumSquare" w:hAnsi="NanumSquare" w:eastAsia="NanumSquare"/>
                <w:b/>
                <w:sz w:val="17"/>
              </w:rPr>
              <w:t>기회 인식</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불가능해 보이는 과제도 실행 과정에서 해결</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장기 산업전망과 전략적 사업선택을 중시</w:t>
            </w:r>
          </w:p>
        </w:tc>
        <w:tc>
          <w:tcPr>
            <w:tcW w:type="dxa" w:w="2381"/>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실행형 기업가정신과 전략형 기업가정신의 차이</w:t>
            </w:r>
          </w:p>
        </w:tc>
      </w:tr>
      <w:tr>
        <w:tc>
          <w:tcPr>
            <w:tcW w:type="dxa" w:w="1701"/>
            <w:vAlign w:val="center"/>
            <w:tcMar>
              <w:top w:w="70" w:type="dxa"/>
              <w:start w:w="70" w:type="dxa"/>
              <w:bottom w:w="70" w:type="dxa"/>
              <w:end w:w="70" w:type="dxa"/>
            </w:tcMar>
          </w:tcPr>
          <w:p>
            <w:pPr>
              <w:spacing w:after="0" w:line="276" w:lineRule="auto"/>
              <w:jc w:val="center"/>
            </w:pPr>
            <w:r>
              <w:rPr>
                <w:rFonts w:ascii="NanumSquare" w:hAnsi="NanumSquare" w:eastAsia="NanumSquare"/>
                <w:b/>
                <w:sz w:val="17"/>
              </w:rPr>
              <w:t>핵심 가치</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도전, 신용, 성실, 현장, 속도</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사업보국, 인재제일, 합리추구</w:t>
            </w:r>
          </w:p>
        </w:tc>
        <w:tc>
          <w:tcPr>
            <w:tcW w:type="dxa" w:w="2381"/>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두 사람 모두 국가·사회 기여를 강조</w:t>
            </w:r>
          </w:p>
        </w:tc>
      </w:tr>
      <w:tr>
        <w:tc>
          <w:tcPr>
            <w:tcW w:type="dxa" w:w="1701"/>
            <w:vAlign w:val="center"/>
            <w:tcMar>
              <w:top w:w="70" w:type="dxa"/>
              <w:start w:w="70" w:type="dxa"/>
              <w:bottom w:w="70" w:type="dxa"/>
              <w:end w:w="70" w:type="dxa"/>
            </w:tcMar>
          </w:tcPr>
          <w:p>
            <w:pPr>
              <w:spacing w:after="0" w:line="276" w:lineRule="auto"/>
              <w:jc w:val="center"/>
            </w:pPr>
            <w:r>
              <w:rPr>
                <w:rFonts w:ascii="NanumSquare" w:hAnsi="NanumSquare" w:eastAsia="NanumSquare"/>
                <w:b/>
                <w:sz w:val="17"/>
              </w:rPr>
              <w:t>의사결정</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현장정보와 직관을 바탕으로 신속하게 결정</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자료·인재·조직체계를 활용한 분석적 결정</w:t>
            </w:r>
          </w:p>
        </w:tc>
        <w:tc>
          <w:tcPr>
            <w:tcW w:type="dxa" w:w="2381"/>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환경에 따라 속도와 분석의 균형이 필요</w:t>
            </w:r>
          </w:p>
        </w:tc>
      </w:tr>
      <w:tr>
        <w:tc>
          <w:tcPr>
            <w:tcW w:type="dxa" w:w="1701"/>
            <w:vAlign w:val="center"/>
            <w:tcMar>
              <w:top w:w="70" w:type="dxa"/>
              <w:start w:w="70" w:type="dxa"/>
              <w:bottom w:w="70" w:type="dxa"/>
              <w:end w:w="70" w:type="dxa"/>
            </w:tcMar>
          </w:tcPr>
          <w:p>
            <w:pPr>
              <w:spacing w:after="0" w:line="276" w:lineRule="auto"/>
              <w:jc w:val="center"/>
            </w:pPr>
            <w:r>
              <w:rPr>
                <w:rFonts w:ascii="NanumSquare" w:hAnsi="NanumSquare" w:eastAsia="NanumSquare"/>
                <w:b/>
                <w:sz w:val="17"/>
              </w:rPr>
              <w:t>조직 운영</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강한 추진력과 목표달성 중심</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인재육성, 교육, 제도화와 관리체계 중시</w:t>
            </w:r>
          </w:p>
        </w:tc>
        <w:tc>
          <w:tcPr>
            <w:tcW w:type="dxa" w:w="2381"/>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창업기와 성장기의 요구가 서로 다름</w:t>
            </w:r>
          </w:p>
        </w:tc>
      </w:tr>
      <w:tr>
        <w:tc>
          <w:tcPr>
            <w:tcW w:type="dxa" w:w="1701"/>
            <w:vAlign w:val="center"/>
            <w:tcMar>
              <w:top w:w="70" w:type="dxa"/>
              <w:start w:w="70" w:type="dxa"/>
              <w:bottom w:w="70" w:type="dxa"/>
              <w:end w:w="70" w:type="dxa"/>
            </w:tcMar>
          </w:tcPr>
          <w:p>
            <w:pPr>
              <w:spacing w:after="0" w:line="276" w:lineRule="auto"/>
              <w:jc w:val="center"/>
            </w:pPr>
            <w:r>
              <w:rPr>
                <w:rFonts w:ascii="NanumSquare" w:hAnsi="NanumSquare" w:eastAsia="NanumSquare"/>
                <w:b/>
                <w:sz w:val="17"/>
              </w:rPr>
              <w:t>위험 대응</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위험을 감수하고 돌파하면서 학습</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선택한 분야에 장기 투자하여 경쟁력 축적</w:t>
            </w:r>
          </w:p>
        </w:tc>
        <w:tc>
          <w:tcPr>
            <w:tcW w:type="dxa" w:w="2381"/>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둘 다 위험을 회피하기보다 통제하며 기회로 전환</w:t>
            </w:r>
          </w:p>
        </w:tc>
      </w:tr>
      <w:tr>
        <w:tc>
          <w:tcPr>
            <w:tcW w:type="dxa" w:w="1701"/>
            <w:vAlign w:val="center"/>
            <w:tcMar>
              <w:top w:w="70" w:type="dxa"/>
              <w:start w:w="70" w:type="dxa"/>
              <w:bottom w:w="70" w:type="dxa"/>
              <w:end w:w="70" w:type="dxa"/>
            </w:tcMar>
          </w:tcPr>
          <w:p>
            <w:pPr>
              <w:spacing w:after="0" w:line="276" w:lineRule="auto"/>
              <w:jc w:val="center"/>
            </w:pPr>
            <w:r>
              <w:rPr>
                <w:rFonts w:ascii="NanumSquare" w:hAnsi="NanumSquare" w:eastAsia="NanumSquare"/>
                <w:b/>
                <w:sz w:val="17"/>
              </w:rPr>
              <w:t>사회적 책임</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기업이윤의 사회환원과 복지사업 실천</w:t>
            </w:r>
          </w:p>
        </w:tc>
        <w:tc>
          <w:tcPr>
            <w:tcW w:type="dxa" w:w="2665"/>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문화·교육·공익사업과 인재육성 강조</w:t>
            </w:r>
          </w:p>
        </w:tc>
        <w:tc>
          <w:tcPr>
            <w:tcW w:type="dxa" w:w="2381"/>
            <w:vAlign w:val="center"/>
            <w:tcMar>
              <w:top w:w="70" w:type="dxa"/>
              <w:start w:w="70" w:type="dxa"/>
              <w:bottom w:w="70" w:type="dxa"/>
              <w:end w:w="70" w:type="dxa"/>
            </w:tcMar>
          </w:tcPr>
          <w:p>
            <w:pPr>
              <w:spacing w:after="0" w:line="276" w:lineRule="auto"/>
              <w:jc w:val="left"/>
            </w:pPr>
            <w:r>
              <w:rPr>
                <w:rFonts w:ascii="NanumSquare" w:hAnsi="NanumSquare" w:eastAsia="NanumSquare"/>
                <w:b w:val="0"/>
                <w:sz w:val="17"/>
              </w:rPr>
              <w:t>기업의 사회적 정당성을 중시</w:t>
            </w:r>
          </w:p>
        </w:tc>
      </w:tr>
    </w:tbl>
    <w:p>
      <w:pPr>
        <w:keepNext/>
        <w:spacing w:before="160" w:after="100"/>
        <w:jc w:val="left"/>
      </w:pPr>
      <w:r>
        <w:rPr>
          <w:rFonts w:ascii="NanumSquare" w:hAnsi="NanumSquare" w:eastAsia="NanumSquare"/>
          <w:b/>
          <w:color w:val="1F4E79"/>
          <w:sz w:val="28"/>
        </w:rPr>
        <w:t>5. 오늘날 경영에 주는 시사점</w:t>
      </w:r>
    </w:p>
    <w:p>
      <w:pPr>
        <w:spacing w:before="0" w:after="120" w:line="355" w:lineRule="auto"/>
        <w:ind w:firstLine="397"/>
        <w:jc w:val="both"/>
      </w:pPr>
      <w:r>
        <w:rPr>
          <w:rFonts w:ascii="NanumSquare" w:hAnsi="NanumSquare" w:eastAsia="NanumSquare"/>
          <w:sz w:val="21"/>
        </w:rPr>
        <w:t>두 창업자의 경험에서 오늘날 기업이 배울 수 있는 첫 번째 요소는 불확실성을 이유로 기회를 포기하지 않는 태도이다. 디지털 전환과 인공지능, 친환경 산업처럼 기술과 시장이 빠르게 바뀌는 환경에서는 완전한 정보가 제공되기 어렵다. 정주영의 실행력은 작은 실험을 빠르게 시작하고 고객과 시장의 반응을 통해 학습하는 애자일 방식과 연결하여 해석할 수 있다. 다만 과거의 과감함을 그대로 적용하기보다 안전, 법규, 내부통제, 이해관계자 보호라는 현대적 기준 속에서 계산된 위험감수로 발전시켜야 한다.</w:t>
      </w:r>
    </w:p>
    <w:p>
      <w:pPr>
        <w:spacing w:before="0" w:after="120" w:line="355" w:lineRule="auto"/>
        <w:ind w:firstLine="397"/>
        <w:jc w:val="both"/>
      </w:pPr>
      <w:r>
        <w:rPr>
          <w:rFonts w:ascii="NanumSquare" w:hAnsi="NanumSquare" w:eastAsia="NanumSquare"/>
          <w:sz w:val="21"/>
        </w:rPr>
        <w:t>두 번째 요소는 인재와 조직학습에 대한 장기 투자이다. 이병철의 인재제일 철학은 기술 변화가 빠른 오늘날 더욱 중요하다. 기업의 경쟁우위는 설비만으로 유지되기 어렵고, 직원이 새로운 기술을 학습하고 문제를 해결할 수 있는 역량이 핵심이기 때문이다. 따라서 채용 이후의 교육, 권한위임, 협업문화, 실패로부터의 학습을 통해 조직 전체가 혁신에 참여하도록 해야 한다. 김기찬(2021) 역시 제2창업기의 기업가정신이 창업자 개인을 넘어 직원과 협력업체, 사회가 함께 혁신하고 사회적 가치를 창출하는 방향으로 확장되어야 한다고 강조한다.</w:t>
      </w:r>
    </w:p>
    <w:p>
      <w:pPr>
        <w:spacing w:before="0" w:after="120" w:line="355" w:lineRule="auto"/>
        <w:ind w:firstLine="397"/>
        <w:jc w:val="both"/>
      </w:pPr>
      <w:r>
        <w:rPr>
          <w:rFonts w:ascii="NanumSquare" w:hAnsi="NanumSquare" w:eastAsia="NanumSquare"/>
          <w:sz w:val="21"/>
        </w:rPr>
        <w:t>세 번째 요소는 기업의 존재 이유를 사회적 가치와 연결하는 것이다. 정주영의 사회환원과 이병철의 사업보국은 각각 표현은 다르지만 기업이 사회의 신뢰를 기반으로 성장한다는 점을 보여 준다. 오늘날에는 이를 ESG 경영, 공급망 책임, 소비자 보호, 지역사회 기여, 투명한 지배구조 등으로 구체화할 필요가 있다. 즉 과거 창업자의 국가발전 지향성을 현대적으로 계승한다면, 기업의 단기 이익뿐 아니라 다양한 이해관계자와 장기적으로 공존할 수 있는 경영목표로 재해석해야 한다.</w:t>
      </w:r>
    </w:p>
    <w:p>
      <w:r>
        <w:br w:type="page"/>
      </w:r>
    </w:p>
    <w:p>
      <w:pPr>
        <w:spacing w:after="80"/>
        <w:jc w:val="center"/>
      </w:pPr>
      <w:r>
        <w:rPr>
          <w:rFonts w:ascii="NanumSquare" w:hAnsi="NanumSquare" w:eastAsia="NanumSquare"/>
          <w:b/>
          <w:color w:val="1F4E79"/>
          <w:sz w:val="30"/>
        </w:rPr>
        <w:t>Ⅲ. 결론 및 Ⅳ. 참고문헌</w:t>
      </w:r>
    </w:p>
    <w:p>
      <w:pPr>
        <w:keepNext/>
        <w:spacing w:before="160" w:after="100"/>
        <w:jc w:val="left"/>
      </w:pPr>
      <w:r>
        <w:rPr>
          <w:rFonts w:ascii="NanumSquare" w:hAnsi="NanumSquare" w:eastAsia="NanumSquare"/>
          <w:b/>
          <w:color w:val="1F4E79"/>
          <w:sz w:val="28"/>
        </w:rPr>
        <w:t>Ⅲ. 결론</w:t>
      </w:r>
    </w:p>
    <w:p>
      <w:pPr>
        <w:spacing w:before="0" w:after="120" w:line="355" w:lineRule="auto"/>
        <w:ind w:firstLine="397"/>
        <w:jc w:val="both"/>
      </w:pPr>
      <w:r>
        <w:rPr>
          <w:rFonts w:ascii="NanumSquare" w:hAnsi="NanumSquare" w:eastAsia="NanumSquare"/>
          <w:sz w:val="21"/>
        </w:rPr>
        <w:t>정주영과 이병철은 우리나라 산업화 시기를 대표하는 창업가이지만, 성공을 만들어 낸 방식은 동일하지 않았다. 정주영의 기업가정신은 실행과 현장, 도전과 신용을 중심으로 한 행동 지향적 성격이 강했다. 반면 이병철은 사업보국이라는 목적 아래 인재를 육성하고 합리적 관리체계를 구축하며 장기적으로 성장산업을 선택하는 전략적 성격이 강했다. 두 사람의 차이는 어느 한 방식이 절대적으로 우월하다는 의미라기보다 기업이 성장하는 과정에서 서로 다른 역량이 필요하다는 점을 보여 준다. 창업 초기에는 정주영식의 빠른 실행과 시장개척이 중요할 수 있고, 조직 규모가 커질수록 이병철식의 인재육성과 시스템 경영이 중요해질 수 있다.</w:t>
      </w:r>
    </w:p>
    <w:p>
      <w:pPr>
        <w:spacing w:before="0" w:after="120" w:line="355" w:lineRule="auto"/>
        <w:ind w:firstLine="397"/>
        <w:jc w:val="both"/>
      </w:pPr>
      <w:r>
        <w:rPr>
          <w:rFonts w:ascii="NanumSquare" w:hAnsi="NanumSquare" w:eastAsia="NanumSquare"/>
          <w:sz w:val="21"/>
        </w:rPr>
        <w:t>학습자의 관점에서 가장 중요한 시사점은 두 창업자의 유명한 성공사례를 그대로 모방하는 것이 아니라 그 안의 원리를 현재의 경영환경에 맞게 재구성하는 데 있다고 생각한다. 오늘날 기업은 과거보다 훨씬 복잡한 규제와 이해관계자 요구에 직면하고 있으며, 혁신 속도도 빨라졌다. 그러므로 도전정신은 무모함이 아니라 검증 가능한 실험과 책임 있는 위험감수로, 강한 추진력은 일방적 지시가 아니라 구성원의 자율성과 참여를 끌어내는 리더십으로 변화해야 한다. 또한 인재제일은 우수한 사람을 선발하는 데서 끝나는 것이 아니라 다양한 구성원이 역량을 발휘할 수 있는 조직문화를 만드는 방향으로 확대되어야 한다.</w:t>
      </w:r>
    </w:p>
    <w:p>
      <w:pPr>
        <w:spacing w:before="0" w:after="120" w:line="355" w:lineRule="auto"/>
        <w:ind w:firstLine="397"/>
        <w:jc w:val="both"/>
      </w:pPr>
      <w:r>
        <w:rPr>
          <w:rFonts w:ascii="NanumSquare" w:hAnsi="NanumSquare" w:eastAsia="NanumSquare"/>
          <w:sz w:val="21"/>
        </w:rPr>
        <w:t>결국 두 창업자의 공통된 핵심은 한정된 자원 속에서도 가능성을 발견하고 장기적인 가치를 만들기 위해 행동했다는 점이다. 여기에 오늘날 요구되는 투명성, 지속가능성, 사회적 책임을 결합한다면 과거의 기업가정신은 여전히 유효한 경영자원으로 활용될 수 있다. 기업가정신은 특정 시대의 영웅적 리더십이 아니라 변화 속에서 기회를 발견하고 사람과 자원을 조직하여 사회에 필요한 가치를 지속적으로 만들어 내는 능력으로 이해해야 한다.</w:t>
      </w:r>
    </w:p>
    <w:p>
      <w:pPr>
        <w:keepNext/>
        <w:spacing w:before="160" w:after="100"/>
        <w:jc w:val="left"/>
      </w:pPr>
      <w:r>
        <w:rPr>
          <w:rFonts w:ascii="NanumSquare" w:hAnsi="NanumSquare" w:eastAsia="NanumSquare"/>
          <w:b/>
          <w:color w:val="1F4E79"/>
          <w:sz w:val="28"/>
        </w:rPr>
        <w:t>Ⅳ. 참고문헌</w:t>
      </w:r>
    </w:p>
    <w:p>
      <w:pPr>
        <w:spacing w:after="80" w:line="300" w:lineRule="auto"/>
        <w:ind w:left="283" w:hanging="283"/>
        <w:jc w:val="left"/>
      </w:pPr>
      <w:r>
        <w:rPr>
          <w:rFonts w:ascii="NanumSquare" w:hAnsi="NanumSquare" w:eastAsia="NanumSquare"/>
          <w:sz w:val="18"/>
        </w:rPr>
        <w:t>김기찬. (2021). 제2창업기, 한국적 기업가정신의 지향성과 일하고 싶은 중소기업정책제안: 사람중심기업과 황철주기업가정신의 시사점을 중심으로. Korea Business Review, 25(4), 45-66. https://doi.org/10.17287/kbr.2021.25.4.45</w:t>
      </w:r>
    </w:p>
    <w:p>
      <w:pPr>
        <w:spacing w:after="80" w:line="300" w:lineRule="auto"/>
        <w:ind w:left="283" w:hanging="283"/>
        <w:jc w:val="left"/>
      </w:pPr>
      <w:r>
        <w:rPr>
          <w:rFonts w:ascii="NanumSquare" w:hAnsi="NanumSquare" w:eastAsia="NanumSquare"/>
          <w:sz w:val="18"/>
        </w:rPr>
        <w:t>정주영. (2015). 이 땅에 태어나서: 나의 살아온 이야기 (개정판). 솔.</w:t>
      </w:r>
    </w:p>
    <w:p>
      <w:pPr>
        <w:spacing w:after="80" w:line="300" w:lineRule="auto"/>
        <w:ind w:left="283" w:hanging="283"/>
        <w:jc w:val="left"/>
      </w:pPr>
      <w:r>
        <w:rPr>
          <w:rFonts w:ascii="NanumSquare" w:hAnsi="NanumSquare" w:eastAsia="NanumSquare"/>
          <w:sz w:val="18"/>
        </w:rPr>
        <w:t>이병철. (2014). 호암자전. 나남.</w:t>
      </w:r>
    </w:p>
    <w:p>
      <w:pPr>
        <w:spacing w:after="80" w:line="300" w:lineRule="auto"/>
        <w:ind w:left="283" w:hanging="283"/>
        <w:jc w:val="left"/>
      </w:pPr>
      <w:r>
        <w:rPr>
          <w:rFonts w:ascii="NanumSquare" w:hAnsi="NanumSquare" w:eastAsia="NanumSquare"/>
          <w:sz w:val="18"/>
        </w:rPr>
        <w:t>황명수. (2005). 삼성그룹과 이병철 회장의 기업 활동. 경영사연구, 40, 25-56.</w:t>
      </w:r>
    </w:p>
    <w:p>
      <w:pPr>
        <w:spacing w:after="80" w:line="300" w:lineRule="auto"/>
        <w:ind w:left="283" w:hanging="283"/>
        <w:jc w:val="left"/>
      </w:pPr>
      <w:r>
        <w:rPr>
          <w:rFonts w:ascii="NanumSquare" w:hAnsi="NanumSquare" w:eastAsia="NanumSquare"/>
          <w:sz w:val="18"/>
        </w:rPr>
        <w:t>아산나눔재단. (n.d.). 아산 정주영. https://asan-nanum.org/asanchung/ (검색일: 2026. 9. 14.)</w:t>
      </w:r>
    </w:p>
    <w:p>
      <w:pPr>
        <w:spacing w:after="80" w:line="300" w:lineRule="auto"/>
        <w:ind w:left="283" w:hanging="283"/>
        <w:jc w:val="left"/>
      </w:pPr>
      <w:r>
        <w:rPr>
          <w:rFonts w:ascii="NanumSquare" w:hAnsi="NanumSquare" w:eastAsia="NanumSquare"/>
          <w:sz w:val="18"/>
        </w:rPr>
        <w:t>호암재단. (n.d.). 호암 이병철. https://www.hoamfoundation.org/kor/hoam/hoam_intro.asp (검색일: 2026. 9. 14.)</w:t>
      </w:r>
    </w:p>
    <w:p>
      <w:pPr>
        <w:spacing w:after="80" w:line="300" w:lineRule="auto"/>
        <w:ind w:left="283" w:hanging="283"/>
        <w:jc w:val="left"/>
      </w:pPr>
      <w:r>
        <w:rPr>
          <w:rFonts w:ascii="NanumSquare" w:hAnsi="NanumSquare" w:eastAsia="NanumSquare"/>
          <w:sz w:val="18"/>
        </w:rPr>
        <w:t>호암재단. (n.d.). 철학과 사상(경영철학). https://www.hoamfoundation.org/kor/hoam/hoam_life01.asp (검색일: 2026. 9. 14.)</w:t>
      </w:r>
    </w:p>
    <w:p>
      <w:pPr>
        <w:spacing w:after="80" w:line="300" w:lineRule="auto"/>
        <w:ind w:left="283" w:hanging="283"/>
        <w:jc w:val="left"/>
      </w:pPr>
      <w:r>
        <w:rPr>
          <w:rFonts w:ascii="NanumSquare" w:hAnsi="NanumSquare" w:eastAsia="NanumSquare"/>
          <w:sz w:val="18"/>
        </w:rPr>
        <w:t>Drucker, P. F. (1985). Innovation and entrepreneurship: Practice and principles. Harper &amp; Row.</w:t>
      </w:r>
    </w:p>
    <w:p>
      <w:pPr>
        <w:spacing w:after="80" w:line="300" w:lineRule="auto"/>
        <w:ind w:left="283" w:hanging="283"/>
        <w:jc w:val="left"/>
      </w:pPr>
      <w:r>
        <w:rPr>
          <w:rFonts w:ascii="NanumSquare" w:hAnsi="NanumSquare" w:eastAsia="NanumSquare"/>
          <w:sz w:val="18"/>
        </w:rPr>
        <w:t>Schumpeter, J. A. (1934). The theory of economic development. Harvard University Press.</w:t>
      </w:r>
    </w:p>
    <w:p>
      <w:r>
        <w:br w:type="page"/>
      </w:r>
    </w:p>
    <w:p/>
    <w:p/>
    <w:p>
      <w:pPr>
        <w:spacing w:after="480"/>
        <w:jc w:val="center"/>
      </w:pPr>
      <w:r>
        <w:rPr>
          <w:rFonts w:ascii="NanumSquare" w:hAnsi="NanumSquare" w:eastAsia="NanumSquare"/>
          <w:b/>
          <w:color w:val="1F4E79"/>
          <w:sz w:val="36"/>
        </w:rPr>
        <w:t>과제 제출 전 반드시 확인해 주세요</w:t>
      </w:r>
    </w:p>
    <w:tbl>
      <w:tblPr>
        <w:tblStyle w:val="TableGrid"/>
        <w:tblW w:type="auto" w:w="0"/>
        <w:jc w:val="center"/>
        <w:tblLook w:firstColumn="1" w:firstRow="1" w:lastColumn="0" w:lastRow="0" w:noHBand="0" w:noVBand="1" w:val="04A0"/>
      </w:tblPr>
      <w:tblGrid>
        <w:gridCol w:w="9412"/>
      </w:tblGrid>
      <w:tr>
        <w:tc>
          <w:tcPr>
            <w:tcW w:type="dxa" w:w="9412"/>
            <w:shd w:fill="FFF4E5"/>
            <w:tcMar>
              <w:top w:w="240" w:type="dxa"/>
              <w:start w:w="260" w:type="dxa"/>
              <w:bottom w:w="240" w:type="dxa"/>
              <w:end w:w="260" w:type="dxa"/>
            </w:tcMar>
          </w:tcPr>
          <w:p>
            <w:pPr>
              <w:spacing w:line="360" w:lineRule="auto"/>
              <w:jc w:val="left"/>
            </w:pPr>
            <w:r>
              <w:rPr>
                <w:rFonts w:ascii="NanumSquare" w:hAnsi="NanumSquare" w:eastAsia="NanumSquare"/>
                <w:b/>
                <w:color w:val="B45A00"/>
                <w:sz w:val="25"/>
              </w:rPr>
              <w:t>⚠️ 주의사항</w:t>
              <w:br/>
            </w:r>
            <w:r>
              <w:rPr>
                <w:rFonts w:ascii="NanumSquare" w:hAnsi="NanumSquare" w:eastAsia="NanumSquare"/>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before="440" w:after="160"/>
        <w:jc w:val="left"/>
      </w:pPr>
      <w:r>
        <w:rPr>
          <w:rFonts w:ascii="NanumSquare" w:hAnsi="NanumSquare" w:eastAsia="NanumSquare"/>
          <w:b/>
          <w:color w:val="1F4E79"/>
          <w:sz w:val="25"/>
        </w:rPr>
        <w:t>📌 과제 수정이 어려우신가요?</w:t>
      </w:r>
    </w:p>
    <w:p>
      <w:pPr>
        <w:spacing w:before="0" w:after="240" w:line="360" w:lineRule="auto"/>
        <w:jc w:val="left"/>
      </w:pPr>
      <w:r>
        <w:rPr>
          <w:rFonts w:ascii="NanumSquare" w:hAnsi="NanumSquare" w:eastAsia="NanumSquare"/>
          <w:sz w:val="22"/>
        </w:rPr>
        <w:t>국민원격교육관리센터에서 1:1 과제 수정 도움을 드립니다.</w:t>
        <w:br/>
        <w:t>아래 연락처로 문의해 주세요.</w:t>
      </w:r>
    </w:p>
    <w:p>
      <w:pPr>
        <w:spacing w:after="120"/>
      </w:pPr>
      <w:r>
        <w:rPr>
          <w:rFonts w:ascii="NanumSquare" w:hAnsi="NanumSquare" w:eastAsia="NanumSquare"/>
          <w:b/>
          <w:sz w:val="22"/>
        </w:rPr>
        <w:t>📞 전화: 050-7878-7044</w:t>
      </w:r>
    </w:p>
    <w:p>
      <w:pPr>
        <w:spacing w:after="120"/>
      </w:pPr>
      <w:r>
        <w:rPr>
          <w:rFonts w:ascii="NanumSquare" w:hAnsi="NanumSquare" w:eastAsia="NanumSquare"/>
          <w:b/>
          <w:sz w:val="22"/>
        </w:rPr>
        <w:t>💬 카카오톡: @국민원격교육관리센터</w:t>
      </w:r>
    </w:p>
    <w:p>
      <w:pPr>
        <w:spacing w:after="120"/>
      </w:pPr>
      <w:r>
        <w:rPr>
          <w:rFonts w:ascii="NanumSquare" w:hAnsi="NanumSquare" w:eastAsia="NanumSquare"/>
          <w:b w:val="0"/>
          <w:sz w:val="22"/>
        </w:rPr>
        <w:t>🕐 운영시간: 평일 10:00–19:00</w:t>
      </w:r>
    </w:p>
    <w:p>
      <w:pPr>
        <w:spacing w:after="120"/>
      </w:pPr>
      <w:r>
        <w:rPr>
          <w:rFonts w:ascii="NanumSquare" w:hAnsi="NanumSquare" w:eastAsia="NanumSquare"/>
          <w:b w:val="0"/>
          <w:sz w:val="22"/>
        </w:rPr>
        <w:t>🌐 웹사이트: korealms.co.kr</w:t>
      </w:r>
    </w:p>
    <w:sectPr w:rsidR="00FC693F" w:rsidRPr="0006063C" w:rsidSect="00034616">
      <w:footerReference w:type="default" r:id="rId9"/>
      <w:pgSz w:w="11906" w:h="16838"/>
      <w:pgMar w:top="1134"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color w:val="828282"/>
        <w:sz w:val="16"/>
      </w:rPr>
      <w:t>경영학개론 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anumSquare" w:hAnsi="NanumSquare" w:eastAsia="NanumSquare"/>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경영학개론 - 우리나라 기업가 2명 이상의 창업정신, 기업이념, 경영철학 비교</dc:title>
  <dc:subject>학점은행제 과제 참고용 샘플</dc:subject>
  <dc:creator/>
  <cp:keywords>경영학개론, 기업가정신, 정주영, 이병철, 경영철학</cp:keywords>
  <dc:description>generated by python-docx</dc:description>
  <cp:lastModifiedBy/>
  <cp:revision>1</cp:revision>
  <dcterms:created xsi:type="dcterms:W3CDTF">2013-12-23T23:15:00Z</dcterms:created>
  <dcterms:modified xsi:type="dcterms:W3CDTF">2013-12-23T23:15:00Z</dcterms:modified>
  <cp:category/>
</cp:coreProperties>
</file>