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520"/>
        <w:jc w:val="center"/>
      </w:pPr>
      <w:r>
        <w:rPr>
          <w:rFonts w:ascii="Noto Sans CJK KR" w:hAnsi="Noto Sans CJK KR" w:eastAsia="Noto Sans CJK KR"/>
          <w:b/>
          <w:color w:val="505050"/>
          <w:sz w:val="26"/>
        </w:rPr>
        <w:t>위더스평생교육원</w:t>
      </w:r>
    </w:p>
    <w:p>
      <w:pPr>
        <w:spacing w:before="560"/>
        <w:jc w:val="center"/>
      </w:pPr>
      <w:r>
        <w:rPr>
          <w:rFonts w:ascii="Noto Sans CJK KR" w:hAnsi="Noto Sans CJK KR" w:eastAsia="Noto Sans CJK KR"/>
          <w:b/>
          <w:color w:val="1F4E79"/>
          <w:sz w:val="44"/>
        </w:rPr>
        <w:t>경영학개론 과제 참고용 샘플</w:t>
      </w:r>
    </w:p>
    <w:p>
      <w:pPr>
        <w:jc w:val="center"/>
      </w:pPr>
      <w:r>
        <w:rPr>
          <w:rFonts w:ascii="Noto Sans CJK KR" w:hAnsi="Noto Sans CJK KR" w:eastAsia="Noto Sans CJK KR"/>
          <w:b w:val="0"/>
          <w:color w:val="5C97BF"/>
          <w:sz w:val="22"/>
        </w:rPr>
        <w:t>━━━━━━━━━━━━━━━━━━━━━━━━━━━━</w:t>
      </w:r>
    </w:p>
    <w:tbl>
      <w:tblPr>
        <w:tblW w:type="auto" w:w="0"/>
        <w:jc w:val="center"/>
        <w:tblLayout w:type="fixed"/>
        <w:tblLook w:firstColumn="1" w:firstRow="1" w:lastColumn="0" w:lastRow="0" w:noHBand="0" w:noVBand="1" w:val="04A0"/>
      </w:tblPr>
      <w:tblGrid>
        <w:gridCol w:w="1871"/>
        <w:gridCol w:w="7087"/>
      </w:tblGrid>
      <w:tr>
        <w:tc>
          <w:tcPr>
            <w:tcW w:type="dxa" w:w="4873"/>
            <w:shd w:fill="EAF2F8"/>
            <w:tcMar>
              <w:top w:w="120" w:type="dxa"/>
              <w:start w:w="140" w:type="dxa"/>
              <w:bottom w:w="120" w:type="dxa"/>
              <w:end w:w="140" w:type="dxa"/>
            </w:tcMar>
            <w:vAlign w:val="center"/>
          </w:tcPr>
          <w:p>
            <w:pPr>
              <w:jc w:val="center"/>
            </w:pPr>
            <w:r>
              <w:rPr>
                <w:rFonts w:ascii="Noto Sans CJK KR" w:hAnsi="Noto Sans CJK KR" w:eastAsia="Noto Sans CJK KR"/>
                <w:b/>
                <w:color w:val="1F4E79"/>
                <w:sz w:val="21"/>
              </w:rPr>
              <w:t>과목명</w:t>
            </w:r>
          </w:p>
        </w:tc>
        <w:tc>
          <w:tcPr>
            <w:tcW w:type="dxa" w:w="4873"/>
            <w:tcMar>
              <w:top w:w="120" w:type="dxa"/>
              <w:start w:w="140" w:type="dxa"/>
              <w:bottom w:w="120" w:type="dxa"/>
              <w:end w:w="140" w:type="dxa"/>
            </w:tcMar>
            <w:vAlign w:val="center"/>
          </w:tcPr>
          <w:p>
            <w:r>
              <w:rPr>
                <w:rFonts w:ascii="Noto Sans CJK KR" w:hAnsi="Noto Sans CJK KR" w:eastAsia="Noto Sans CJK KR"/>
                <w:b/>
                <w:sz w:val="21"/>
              </w:rPr>
              <w:t>경영학개론</w:t>
            </w:r>
          </w:p>
        </w:tc>
      </w:tr>
      <w:tr>
        <w:tc>
          <w:tcPr>
            <w:tcW w:type="dxa" w:w="4873"/>
            <w:shd w:fill="EAF2F8"/>
            <w:tcMar>
              <w:top w:w="120" w:type="dxa"/>
              <w:start w:w="140" w:type="dxa"/>
              <w:bottom w:w="120" w:type="dxa"/>
              <w:end w:w="140" w:type="dxa"/>
            </w:tcMar>
            <w:vAlign w:val="center"/>
          </w:tcPr>
          <w:p>
            <w:pPr>
              <w:jc w:val="center"/>
            </w:pPr>
            <w:r>
              <w:rPr>
                <w:rFonts w:ascii="Noto Sans CJK KR" w:hAnsi="Noto Sans CJK KR" w:eastAsia="Noto Sans CJK KR"/>
                <w:b/>
                <w:color w:val="1F4E79"/>
                <w:sz w:val="21"/>
              </w:rPr>
              <w:t>과제 주제</w:t>
            </w:r>
          </w:p>
        </w:tc>
        <w:tc>
          <w:tcPr>
            <w:tcW w:type="dxa" w:w="4873"/>
            <w:tcMar>
              <w:top w:w="120" w:type="dxa"/>
              <w:start w:w="140" w:type="dxa"/>
              <w:bottom w:w="120" w:type="dxa"/>
              <w:end w:w="140" w:type="dxa"/>
            </w:tcMar>
            <w:vAlign w:val="center"/>
          </w:tcPr>
          <w:p>
            <w:r>
              <w:rPr>
                <w:rFonts w:ascii="Noto Sans CJK KR" w:hAnsi="Noto Sans CJK KR" w:eastAsia="Noto Sans CJK KR"/>
                <w:b/>
                <w:sz w:val="21"/>
              </w:rPr>
              <w:t>기업의 사회적 책임 활동과 사회적 가치 창출 사례를 조사하고 시사점을 분석</w:t>
            </w:r>
          </w:p>
        </w:tc>
      </w:tr>
      <w:tr>
        <w:tc>
          <w:tcPr>
            <w:tcW w:type="dxa" w:w="4873"/>
            <w:shd w:fill="EAF2F8"/>
            <w:tcMar>
              <w:top w:w="120" w:type="dxa"/>
              <w:start w:w="140" w:type="dxa"/>
              <w:bottom w:w="120" w:type="dxa"/>
              <w:end w:w="140" w:type="dxa"/>
            </w:tcMar>
            <w:vAlign w:val="center"/>
          </w:tcPr>
          <w:p>
            <w:pPr>
              <w:jc w:val="center"/>
            </w:pPr>
            <w:r>
              <w:rPr>
                <w:rFonts w:ascii="Noto Sans CJK KR" w:hAnsi="Noto Sans CJK KR" w:eastAsia="Noto Sans CJK KR"/>
                <w:b/>
                <w:color w:val="1F4E79"/>
                <w:sz w:val="21"/>
              </w:rPr>
              <w:t>제출일</w:t>
            </w:r>
          </w:p>
        </w:tc>
        <w:tc>
          <w:tcPr>
            <w:tcW w:type="dxa" w:w="4873"/>
            <w:tcMar>
              <w:top w:w="120" w:type="dxa"/>
              <w:start w:w="140" w:type="dxa"/>
              <w:bottom w:w="120" w:type="dxa"/>
              <w:end w:w="140" w:type="dxa"/>
            </w:tcMar>
            <w:vAlign w:val="center"/>
          </w:tcPr>
          <w:p>
            <w:r>
              <w:rPr>
                <w:rFonts w:ascii="Noto Sans CJK KR" w:hAnsi="Noto Sans CJK KR" w:eastAsia="Noto Sans CJK KR"/>
                <w:b w:val="0"/>
                <w:sz w:val="21"/>
              </w:rPr>
              <w:t>____________________________</w:t>
            </w:r>
          </w:p>
        </w:tc>
      </w:tr>
      <w:tr>
        <w:tc>
          <w:tcPr>
            <w:tcW w:type="dxa" w:w="4873"/>
            <w:shd w:fill="EAF2F8"/>
            <w:tcMar>
              <w:top w:w="120" w:type="dxa"/>
              <w:start w:w="140" w:type="dxa"/>
              <w:bottom w:w="120" w:type="dxa"/>
              <w:end w:w="140" w:type="dxa"/>
            </w:tcMar>
            <w:vAlign w:val="center"/>
          </w:tcPr>
          <w:p>
            <w:pPr>
              <w:jc w:val="center"/>
            </w:pPr>
            <w:r>
              <w:rPr>
                <w:rFonts w:ascii="Noto Sans CJK KR" w:hAnsi="Noto Sans CJK KR" w:eastAsia="Noto Sans CJK KR"/>
                <w:b/>
                <w:color w:val="1F4E79"/>
                <w:sz w:val="21"/>
              </w:rPr>
              <w:t>제출자</w:t>
            </w:r>
          </w:p>
        </w:tc>
        <w:tc>
          <w:tcPr>
            <w:tcW w:type="dxa" w:w="4873"/>
            <w:tcMar>
              <w:top w:w="120" w:type="dxa"/>
              <w:start w:w="140" w:type="dxa"/>
              <w:bottom w:w="120" w:type="dxa"/>
              <w:end w:w="140" w:type="dxa"/>
            </w:tcMar>
            <w:vAlign w:val="center"/>
          </w:tcPr>
          <w:p>
            <w:r>
              <w:rPr>
                <w:rFonts w:ascii="Noto Sans CJK KR" w:hAnsi="Noto Sans CJK KR" w:eastAsia="Noto Sans CJK KR"/>
                <w:b w:val="0"/>
                <w:sz w:val="21"/>
              </w:rPr>
              <w:t>____________________________</w:t>
            </w:r>
          </w:p>
        </w:tc>
      </w:tr>
    </w:tbl>
    <w:p>
      <w:pPr>
        <w:spacing w:before="480"/>
        <w:jc w:val="center"/>
      </w:pPr>
      <w:r>
        <w:rPr>
          <w:rFonts w:ascii="Noto Sans CJK KR" w:hAnsi="Noto Sans CJK KR" w:eastAsia="Noto Sans CJK KR"/>
          <w:b/>
          <w:color w:val="1F4E79"/>
          <w:sz w:val="28"/>
        </w:rPr>
        <w:t>목차</w:t>
      </w:r>
    </w:p>
    <w:p>
      <w:pPr>
        <w:spacing w:after="60"/>
        <w:ind w:left="1247" w:right="567"/>
      </w:pPr>
      <w:r>
        <w:rPr>
          <w:rFonts w:ascii="Noto Sans CJK KR" w:hAnsi="Noto Sans CJK KR" w:eastAsia="Noto Sans CJK KR"/>
          <w:b w:val="0"/>
          <w:sz w:val="21"/>
        </w:rPr>
        <w:t>Ⅰ. 서론</w:t>
      </w:r>
    </w:p>
    <w:p>
      <w:pPr>
        <w:spacing w:after="60"/>
        <w:ind w:left="1247" w:right="567"/>
      </w:pPr>
      <w:r>
        <w:rPr>
          <w:rFonts w:ascii="Noto Sans CJK KR" w:hAnsi="Noto Sans CJK KR" w:eastAsia="Noto Sans CJK KR"/>
          <w:b w:val="0"/>
          <w:sz w:val="21"/>
        </w:rPr>
        <w:t>Ⅱ. 본론  1. 기업의 사회적 책임과 사회적 가치의 개념</w:t>
      </w:r>
    </w:p>
    <w:p>
      <w:pPr>
        <w:spacing w:after="60"/>
        <w:ind w:left="1247" w:right="567"/>
      </w:pPr>
      <w:r>
        <w:rPr>
          <w:rFonts w:ascii="Noto Sans CJK KR" w:hAnsi="Noto Sans CJK KR" w:eastAsia="Noto Sans CJK KR"/>
          <w:b w:val="0"/>
          <w:sz w:val="21"/>
        </w:rPr>
        <w:t>Ⅱ. 본론  2. SK의 DBL 경영 사례</w:t>
      </w:r>
    </w:p>
    <w:p>
      <w:pPr>
        <w:spacing w:after="60"/>
        <w:ind w:left="1247" w:right="567"/>
      </w:pPr>
      <w:r>
        <w:rPr>
          <w:rFonts w:ascii="Noto Sans CJK KR" w:hAnsi="Noto Sans CJK KR" w:eastAsia="Noto Sans CJK KR"/>
          <w:b w:val="0"/>
          <w:sz w:val="21"/>
        </w:rPr>
        <w:t>Ⅱ. 본론  3. 유한킴벌리의 「우리강산 푸르게 푸르게」 사례</w:t>
      </w:r>
    </w:p>
    <w:p>
      <w:pPr>
        <w:spacing w:after="60"/>
        <w:ind w:left="1247" w:right="567"/>
      </w:pPr>
      <w:r>
        <w:rPr>
          <w:rFonts w:ascii="Noto Sans CJK KR" w:hAnsi="Noto Sans CJK KR" w:eastAsia="Noto Sans CJK KR"/>
          <w:b w:val="0"/>
          <w:sz w:val="21"/>
        </w:rPr>
        <w:t>Ⅱ. 본론  4. 파타고니아의 환경책임 경영 사례</w:t>
      </w:r>
    </w:p>
    <w:p>
      <w:pPr>
        <w:spacing w:after="60"/>
        <w:ind w:left="1247" w:right="567"/>
      </w:pPr>
      <w:r>
        <w:rPr>
          <w:rFonts w:ascii="Noto Sans CJK KR" w:hAnsi="Noto Sans CJK KR" w:eastAsia="Noto Sans CJK KR"/>
          <w:b w:val="0"/>
          <w:sz w:val="21"/>
        </w:rPr>
        <w:t>Ⅱ. 본론  5. 사례 비교와 시사점</w:t>
      </w:r>
    </w:p>
    <w:p>
      <w:pPr>
        <w:spacing w:after="60"/>
        <w:ind w:left="1247" w:right="567"/>
      </w:pPr>
      <w:r>
        <w:rPr>
          <w:rFonts w:ascii="Noto Sans CJK KR" w:hAnsi="Noto Sans CJK KR" w:eastAsia="Noto Sans CJK KR"/>
          <w:b w:val="0"/>
          <w:sz w:val="21"/>
        </w:rPr>
        <w:t>Ⅲ. 결론</w:t>
      </w:r>
    </w:p>
    <w:p>
      <w:pPr>
        <w:spacing w:after="60"/>
        <w:ind w:left="1247" w:right="567"/>
      </w:pPr>
      <w:r>
        <w:rPr>
          <w:rFonts w:ascii="Noto Sans CJK KR" w:hAnsi="Noto Sans CJK KR" w:eastAsia="Noto Sans CJK KR"/>
          <w:b w:val="0"/>
          <w:sz w:val="21"/>
        </w:rPr>
        <w:t>Ⅳ. 참고문헌</w:t>
      </w:r>
    </w:p>
    <w:p>
      <w:pPr>
        <w:pStyle w:val="SmallNote"/>
        <w:spacing w:before="320"/>
        <w:jc w:val="center"/>
      </w:pPr>
      <w:r>
        <w:t>본 문서는 학습 및 과제 작성 방향 설정을 위한 참고용 샘플입니다.</w:t>
      </w:r>
    </w:p>
    <w:p>
      <w:r>
        <w:br w:type="page"/>
      </w:r>
    </w:p>
    <w:p>
      <w:pPr>
        <w:pStyle w:val="Heading1"/>
        <w:spacing w:before="80" w:after="140"/>
      </w:pPr>
      <w:r>
        <w:t>Ⅰ. 서론</w:t>
      </w:r>
    </w:p>
    <w:p>
      <w:pPr>
        <w:spacing w:line="372" w:lineRule="auto" w:after="140"/>
        <w:ind w:firstLine="369"/>
      </w:pPr>
      <w:r>
        <w:rPr>
          <w:rFonts w:ascii="Noto Sans CJK KR" w:hAnsi="Noto Sans CJK KR" w:eastAsia="Noto Sans CJK KR"/>
          <w:b w:val="0"/>
          <w:sz w:val="21"/>
        </w:rPr>
        <w:t>기업의 사회적 책임(Corporate Social Responsibility, CSR)은 과거의 기부나 자선 활동에 머무르는 개념에서 벗어나 기업의 의사결정과 사업 운영이 사회와 환경에 미치는 영향을 책임 있게 관리하는 경영 원리로 발전하였다. 특히 기후위기, 공급망 인권, 지역사회 격차와 같은 복합적인 문제가 확대되면서 기업은 재무적 성과만으로 정당성을 확보하기 어려워졌다. 소비자, 투자자, 임직원, 협력사, 지역사회 등 다양한 이해관계자는 기업이 어떠한 방식으로 이익을 창출하는지, 그리고 그 과정에서 사회적 문제 해결에 어떤 기여를 하는지를 함께 평가하고 있다.</w:t>
      </w:r>
    </w:p>
    <w:p>
      <w:pPr>
        <w:spacing w:line="372" w:lineRule="auto" w:after="140"/>
        <w:ind w:firstLine="369"/>
      </w:pPr>
      <w:r>
        <w:rPr>
          <w:rFonts w:ascii="Noto Sans CJK KR" w:hAnsi="Noto Sans CJK KR" w:eastAsia="Noto Sans CJK KR"/>
          <w:b w:val="0"/>
          <w:sz w:val="21"/>
        </w:rPr>
        <w:t>이러한 변화 속에서 사회적 가치(social value)는 기업 활동으로 인해 이해관계자와 사회에 발생하는 긍정적·부정적 영향을 폭넓게 바라보는 개념으로 주목받고 있다. 사회적 책임이 기업이 지켜야 할 책임의 범위와 원칙을 강조한다면, 사회적 가치 창출은 기업의 역량과 비즈니스 모델을 활용하여 사회문제 해결과 경제적 성과를 동시에 추구하는 적극적 관점에 가깝다. Porter와 Kramer(2011)의 공유가치 창출(CSV) 논의 역시 사회문제를 비용이나 제약으로만 보지 않고 새로운 시장과 혁신의 기회로 전환할 수 있음을 강조하였다.</w:t>
      </w:r>
    </w:p>
    <w:p>
      <w:pPr>
        <w:spacing w:line="372" w:lineRule="auto" w:after="140"/>
        <w:ind w:firstLine="369"/>
      </w:pPr>
      <w:r>
        <w:rPr>
          <w:rFonts w:ascii="Noto Sans CJK KR" w:hAnsi="Noto Sans CJK KR" w:eastAsia="Noto Sans CJK KR"/>
          <w:b w:val="0"/>
          <w:sz w:val="21"/>
        </w:rPr>
        <w:t>본 과제에서는 사회적 책임과 사회적 가치의 이론적 의미를 정리한 뒤, 국내외 기업의 대표 사례로 SK의 더블보텀라인(Double Bottom Line, DBL) 경영, 유한킴벌리의 「우리강산 푸르게 푸르게」 캠페인, 파타고니아(Patagonia)의 환경책임 중심 경영을 살펴보고자 한다. 세 사례는 각각 ‘측정과 경영시스템’, ‘장기적 공익 캠페인과 이해관계자 협력’, ‘기업 목적과 소유구조’라는 서로 다른 접근을 보여준다. 이를 비교함으로써 기업의 사회적 책임 활동이 단기적 이미지 제고를 넘어 지속가능한 사회적 가치 창출로 연결되기 위한 조건과 시사점을 분석한다.</w:t>
      </w:r>
    </w:p>
    <w:p>
      <w:pPr>
        <w:pStyle w:val="Heading1"/>
        <w:spacing w:before="80" w:after="140"/>
      </w:pPr>
      <w:r>
        <w:t>Ⅱ. 본론</w:t>
      </w:r>
    </w:p>
    <w:p>
      <w:pPr>
        <w:pStyle w:val="Heading2"/>
        <w:spacing w:before="160" w:after="100"/>
      </w:pPr>
      <w:r>
        <w:t>1. 기업의 사회적 책임과 사회적 가치의 개념</w:t>
      </w:r>
    </w:p>
    <w:p>
      <w:pPr>
        <w:spacing w:line="372" w:lineRule="auto" w:after="140"/>
        <w:ind w:firstLine="369"/>
      </w:pPr>
      <w:r>
        <w:rPr>
          <w:rFonts w:ascii="Noto Sans CJK KR" w:hAnsi="Noto Sans CJK KR" w:eastAsia="Noto Sans CJK KR"/>
          <w:b w:val="0"/>
          <w:sz w:val="21"/>
        </w:rPr>
        <w:t>Carroll(1991)은 기업의 사회적 책임을 경제적 책임, 법적 책임, 윤리적 책임, 자선적 책임의 다층적 구조로 설명하였다. 가장 기초에는 시장에서 재화와 서비스를 제공하고 지속 가능한 수익을 확보해야 하는 경제적 책임이 있으며, 그 위에 법과 규범을 준수하는 법적 책임, 법적으로 강제되지 않더라도 공정하고 바람직한 행동을 선택해야 하는 윤리적 책임, 지역사회와 공익을 위해 자발적으로 기여하는 자선적 책임이 놓인다. 이 틀의 핵심은 기업의 책임을 ‘이윤 창출과 사회공헌 중 하나를 선택하는 문제’가 아니라 여러 책임을 동시에 고려하는 문제로 본다는 점이다.</w:t>
      </w:r>
    </w:p>
    <w:p>
      <w:pPr>
        <w:spacing w:line="372" w:lineRule="auto" w:after="140"/>
        <w:ind w:firstLine="369"/>
      </w:pPr>
      <w:r>
        <w:rPr>
          <w:rFonts w:ascii="Noto Sans CJK KR" w:hAnsi="Noto Sans CJK KR" w:eastAsia="Noto Sans CJK KR"/>
          <w:b w:val="0"/>
          <w:sz w:val="21"/>
        </w:rPr>
        <w:t>이해관계자 관점에서도 기업은 주주뿐 아니라 고객, 종업원, 협력업체, 정부, 지역사회와의 관계 속에서 성과를 창출한다. 따라서 사회적 가치 경영은 이해관계자에게 발생하는 편익과 비용을 경영의 의사결정에 반영하는 과정이라고 볼 수 있다. 최근 ESG 경영이 확산된 이유도 환경·사회·지배구조 이슈가 장기적으로 기업의 위험과 기회, 자본조달, 인재 확보, 브랜드 신뢰에 영향을 미친다는 인식이 확대되었기 때문이다. 다만 ESG가 평가와 공시의 체계에 초점을 두는 경우가 많다면, 사회적 가치 창출은 구체적인 사회문제 해결과 결과의 변화까지 포함한다는 차이가 있다.</w:t>
      </w:r>
    </w:p>
    <w:tbl>
      <w:tblPr>
        <w:tblW w:type="auto" w:w="0"/>
        <w:jc w:val="center"/>
        <w:tblLook w:firstColumn="1" w:firstRow="1" w:lastColumn="0" w:lastRow="0" w:noHBand="0" w:noVBand="1" w:val="04A0"/>
      </w:tblPr>
      <w:tblGrid>
        <w:gridCol w:w="9746"/>
      </w:tblGrid>
      <w:tr>
        <w:tc>
          <w:tcPr>
            <w:tcW w:type="dxa" w:w="9746"/>
            <w:shd w:fill="F3F6F8"/>
            <w:tcMar>
              <w:top w:w="130" w:type="dxa"/>
              <w:start w:w="160" w:type="dxa"/>
              <w:bottom w:w="130" w:type="dxa"/>
              <w:end w:w="160" w:type="dxa"/>
            </w:tcMar>
          </w:tcPr>
          <w:p>
            <w:r>
              <w:rPr>
                <w:rFonts w:ascii="Noto Sans CJK KR" w:hAnsi="Noto Sans CJK KR" w:eastAsia="Noto Sans CJK KR"/>
                <w:b/>
                <w:color w:val="1F4E79"/>
                <w:sz w:val="20"/>
              </w:rPr>
              <w:t>핵심 관점</w:t>
              <w:br/>
            </w:r>
            <w:r>
              <w:rPr>
                <w:rFonts w:ascii="Noto Sans CJK KR" w:hAnsi="Noto Sans CJK KR" w:eastAsia="Noto Sans CJK KR"/>
                <w:b w:val="0"/>
                <w:color w:val="3C3C3C"/>
                <w:sz w:val="19"/>
              </w:rPr>
              <w:t>지속가능한 사회적 책임 활동은 “얼마를 기부했는가”보다 “기업의 핵심 사업과 의사결정 구조가 사회문제 해결에 어떻게 연결되는가”를 중심으로 평가할 필요가 있다.</w:t>
            </w:r>
          </w:p>
        </w:tc>
      </w:tr>
    </w:tbl>
    <w:p>
      <w:pPr>
        <w:pStyle w:val="Heading2"/>
        <w:spacing w:before="160" w:after="100"/>
      </w:pPr>
      <w:r>
        <w:t>2. SK의 DBL 경영 사례: 사회적 가치를 측정하고 관리하는 방식</w:t>
      </w:r>
    </w:p>
    <w:p>
      <w:pPr>
        <w:spacing w:line="372" w:lineRule="auto" w:after="140"/>
        <w:ind w:firstLine="369"/>
      </w:pPr>
      <w:r>
        <w:rPr>
          <w:rFonts w:ascii="Noto Sans CJK KR" w:hAnsi="Noto Sans CJK KR" w:eastAsia="Noto Sans CJK KR"/>
          <w:b w:val="0"/>
          <w:sz w:val="21"/>
        </w:rPr>
        <w:t>SK는 경제적 가치와 사회적 가치를 동시에 추구하는 DBL 경영을 그룹 차원의 경영철학으로 제시하고 있다. SK의 공식 자료에 따르면 DBL은 기업의 성과를 재무적 성과만으로 보지 않고 기업 활동이 사회에 만들어 낸 긍정적·부정적 영향을 함께 측정하고 관리하려는 접근이다. 특히 2018년부터 사회적 가치 성과를 화폐 단위로 측정해 공개하고 있으며, 이는 사회적 가치가 추상적 구호에 그치지 않고 경영의사결정에서 비교·관리될 수 있도록 하려는 시도라는 점에서 의미가 있다(SK, 2024a).</w:t>
      </w:r>
    </w:p>
    <w:p>
      <w:pPr>
        <w:spacing w:line="372" w:lineRule="auto" w:after="140"/>
        <w:ind w:firstLine="369"/>
      </w:pPr>
      <w:r>
        <w:rPr>
          <w:rFonts w:ascii="Noto Sans CJK KR" w:hAnsi="Noto Sans CJK KR" w:eastAsia="Noto Sans CJK KR"/>
          <w:b w:val="0"/>
          <w:sz w:val="21"/>
        </w:rPr>
        <w:t>SK가 2024년 발표한 자료에서는 2023년 한 해 동안 약 16조 8천억 원의 사회적 가치를 창출했다고 제시하였으며, 2018년 첫 측정 이후 누적액은 약 93조 원으로 설명하였다(SK, 2024b). 이 수치는 납세·고용·배당 등 경제간접 기여성과, 제품과 서비스를 통한 사회성과, 환경성과 등 여러 영역을 포함한다. 여기서 중요한 점은 특정 사회공헌 프로그램의 성과만 집계하는 것이 아니라 회사의 본업과 경영 활동 전체를 사회적 가치 관점에서 재해석하고 있다는 것이다. 예컨대 에너지 효율 개선이나 친환경 기술 개발, 보이스피싱 예방과 같은 제품·서비스의 사회적 효용도 기업이 만들어 내는 사회적 가치의 일부로 관리된다.</w:t>
      </w:r>
    </w:p>
    <w:p>
      <w:pPr>
        <w:spacing w:line="372" w:lineRule="auto" w:after="140"/>
        <w:ind w:firstLine="369"/>
      </w:pPr>
      <w:r>
        <w:rPr>
          <w:rFonts w:ascii="Noto Sans CJK KR" w:hAnsi="Noto Sans CJK KR" w:eastAsia="Noto Sans CJK KR"/>
          <w:b w:val="0"/>
          <w:sz w:val="21"/>
        </w:rPr>
        <w:t>이 사례의 장점은 첫째, 사회적 가치가 경영자의 의사결정에 들어갈 수 있도록 측정 체계를 마련했다는 점이다. 둘째, 사회문제 해결을 비용이 아니라 비즈니스 모델 혁신의 동력으로 인식하고 있다는 점이다. 셋째, 매년 성과를 공개함으로써 외부 이해관계자가 변화 추이를 확인할 수 있는 기반을 마련했다는 점이다. 반면 사회적 가치를 화폐로 환산하는 과정에는 가정과 측정 방법론이 개입될 수밖에 없으며, 기업이 자체적으로 산출한 수치가 객관성을 충분히 확보했는지 지속적인 검증이 필요하다. 따라서 측정의 정교화뿐 아니라 외부 검증, 산정 기준의 투명한 공개, 부정적 영향의 적극적 반영이 함께 이루어져야 한다.</w:t>
      </w:r>
    </w:p>
    <w:p>
      <w:pPr>
        <w:pStyle w:val="Heading2"/>
        <w:spacing w:before="160" w:after="100"/>
      </w:pPr>
      <w:r>
        <w:t>3. 유한킴벌리의 「우리강산 푸르게 푸르게」 사례: 장기성·일관성이 만든 사회적 자산</w:t>
      </w:r>
    </w:p>
    <w:p>
      <w:pPr>
        <w:spacing w:line="372" w:lineRule="auto" w:after="140"/>
        <w:ind w:firstLine="369"/>
      </w:pPr>
      <w:r>
        <w:rPr>
          <w:rFonts w:ascii="Noto Sans CJK KR" w:hAnsi="Noto Sans CJK KR" w:eastAsia="Noto Sans CJK KR"/>
          <w:b w:val="0"/>
          <w:sz w:val="21"/>
        </w:rPr>
        <w:t>유한킴벌리는 1984년부터 「우리강산 푸르게 푸르게」 캠페인을 전개해 왔다. 회사 공식 자료는 이 캠페인이 산림 복구와 숲 조성, 숲 가꾸기, 자연환경 체험교육 등으로 확장되어 왔다고 설명한다. 특히 2024년은 캠페인 40주년이 되는 해였으며, 유한킴벌리는 40년간 약 5천7백만 그루의 나무를 심고 가꾸었다고 지속가능성보고서에서 밝혔다(유한킴벌리, 2025).</w:t>
      </w:r>
    </w:p>
    <w:p>
      <w:pPr>
        <w:spacing w:line="372" w:lineRule="auto" w:after="140"/>
        <w:ind w:firstLine="369"/>
      </w:pPr>
      <w:r>
        <w:rPr>
          <w:rFonts w:ascii="Noto Sans CJK KR" w:hAnsi="Noto Sans CJK KR" w:eastAsia="Noto Sans CJK KR"/>
          <w:b w:val="0"/>
          <w:sz w:val="21"/>
        </w:rPr>
        <w:t>이 활동은 단순한 일회성 환경기부와 구별되는 특징을 가진다. 첫째, 기업의 제품과 사업이 자연자원과 밀접하게 연관되어 있다는 점을 고려하여 환경보전을 장기적인 책임 주제로 선택했다. 둘째, 정부와 지방자치단체, 시민단체, 학계, 시민 등 다양한 주체와 협력하여 공익적 성과를 확장했다. 셋째, 국내 산림을 넘어 도시숲, 학교숲, 북한과 몽골 등으로 활동 범위를 넓히면서 시대별 환경 이슈에 대응하였다. 이처럼 장기간 동일한 핵심 가치를 유지하면서도 활동 방식은 사회 변화에 맞추어 진화한 점이 높은 신뢰를 형성한 요인으로 볼 수 있다.</w:t>
      </w:r>
    </w:p>
    <w:p>
      <w:pPr>
        <w:spacing w:line="372" w:lineRule="auto" w:after="140"/>
        <w:ind w:firstLine="369"/>
      </w:pPr>
      <w:r>
        <w:rPr>
          <w:rFonts w:ascii="Noto Sans CJK KR" w:hAnsi="Noto Sans CJK KR" w:eastAsia="Noto Sans CJK KR"/>
          <w:b w:val="0"/>
          <w:sz w:val="21"/>
        </w:rPr>
        <w:t>기업 관점에서 이러한 활동은 브랜드 이미지와 소비자 신뢰에도 긍정적으로 작용한다. 그러나 그 의미를 단순한 홍보효과로 축소해서는 안 된다. 40년 이상 축적된 환경 활동은 이해관계자에게 기업의 가치와 정체성을 반복적으로 증명해 온 과정이기 때문이다. 즉, 사회적 책임의 지속성과 일관성이 기업 고유의 무형자산으로 전환된 사례라고 평가할 수 있다. 동시에 기업이 캠페인의 사회적 성과를 더 정확히 파악하기 위해서는 식재 그루 수와 같은 산출지표뿐 아니라 생물다양성 개선, 탄소흡수, 시민의 환경인식 변화 등 결과와 영향 수준의 지표를 지속적으로 보완할 필요가 있다.</w:t>
      </w:r>
    </w:p>
    <w:p>
      <w:pPr>
        <w:pStyle w:val="Heading2"/>
        <w:spacing w:before="160" w:after="100"/>
      </w:pPr>
      <w:r>
        <w:t>4. 파타고니아의 환경책임 경영 사례: 기업 목적을 지배구조에 내재화</w:t>
      </w:r>
    </w:p>
    <w:p>
      <w:pPr>
        <w:spacing w:line="372" w:lineRule="auto" w:after="140"/>
        <w:ind w:firstLine="369"/>
      </w:pPr>
      <w:r>
        <w:rPr>
          <w:rFonts w:ascii="Noto Sans CJK KR" w:hAnsi="Noto Sans CJK KR" w:eastAsia="Noto Sans CJK KR"/>
          <w:b w:val="0"/>
          <w:sz w:val="21"/>
        </w:rPr>
        <w:t>파타고니아는 환경보호를 기업의 부수적 사회공헌이 아니라 존재 목적과 경영구조에 연결한 사례로 자주 언급된다. 회사는 2018년 기업 목적을 “우리의 터전인 지구를 되살리기 위해 사업한다”는 방향으로 명확히 하였고, 매년 매출의 1%를 풀뿌리 환경단체에 기부하는 정책을 유지하고 있다. 또한 제품의 수선과 재사용을 장려하는 Worn Wear 활동 등 소비량 자체를 줄이고 제품 수명을 연장하는 방식도 운영해 왔다(Patagonia, n.d.).</w:t>
      </w:r>
    </w:p>
    <w:p>
      <w:pPr>
        <w:spacing w:line="372" w:lineRule="auto" w:after="140"/>
        <w:ind w:firstLine="369"/>
      </w:pPr>
      <w:r>
        <w:rPr>
          <w:rFonts w:ascii="Noto Sans CJK KR" w:hAnsi="Noto Sans CJK KR" w:eastAsia="Noto Sans CJK KR"/>
          <w:b w:val="0"/>
          <w:sz w:val="21"/>
        </w:rPr>
        <w:t>특히 2022년 창업주 일가는 회사 소유구조를 재편하여 의결권 주식 2%를 Patagonia Purpose Trust가, 비의결권 주식 98%를 Holdfast Collective가 보유하도록 했다. 회사 설명에 따르면 Purpose Trust는 기업의 목적과 가치가 장기적으로 유지되도록 의결권을 행사하고, Holdfast Collective는 사업 재투자 후 발생하는 초과 이익을 환경위기 대응에 활용한다. 파타고니아는 영리기업의 형태를 유지하면서도 기업 목적이 소유주의 세대교체나 단기 수익 압력에 의해 쉽게 변경되지 않도록 지배구조 차원의 장치를 마련한 것이다.</w:t>
      </w:r>
    </w:p>
    <w:p>
      <w:pPr>
        <w:spacing w:line="372" w:lineRule="auto" w:after="140"/>
        <w:ind w:firstLine="369"/>
      </w:pPr>
      <w:r>
        <w:rPr>
          <w:rFonts w:ascii="Noto Sans CJK KR" w:hAnsi="Noto Sans CJK KR" w:eastAsia="Noto Sans CJK KR"/>
          <w:b w:val="0"/>
          <w:sz w:val="21"/>
        </w:rPr>
        <w:t>이 사례는 사회적 책임의 강도가 높을수록 기업이 반드시 수익성을 포기해야 한다는 전통적 인식을 재검토하게 한다. 환경가치를 중시하는 고객과 직원의 강한 공감은 브랜드 충성도와 차별화의 기반이 될 수 있기 때문이다. 반면 특정 가치에 대한 강한 입장은 모든 소비자에게 동일하게 수용되는 것은 아니며, 기업의 주장이 실제 공급망과 제품 전 과정에서 일관되게 실천되는지 검증받아야 한다. 따라서 목적 중심 경영은 선언 자체보다 구매, 생산, 물류, 인사, 투자, 지배구조까지 동일한 기준이 적용되는지가 중요하다.</w:t>
      </w:r>
    </w:p>
    <w:p>
      <w:pPr>
        <w:pStyle w:val="Heading2"/>
        <w:spacing w:before="160" w:after="100"/>
      </w:pPr>
      <w:r>
        <w:t>5. 세 사례의 비교와 시사점</w:t>
      </w:r>
    </w:p>
    <w:tbl>
      <w:tblPr>
        <w:tblStyle w:val="TableGrid"/>
        <w:tblW w:type="auto" w:w="0"/>
        <w:jc w:val="center"/>
        <w:tblLook w:firstColumn="1" w:firstRow="1" w:lastColumn="0" w:lastRow="0" w:noHBand="0" w:noVBand="1" w:val="04A0"/>
      </w:tblPr>
      <w:tblGrid>
        <w:gridCol w:w="2436"/>
        <w:gridCol w:w="2436"/>
        <w:gridCol w:w="2436"/>
        <w:gridCol w:w="2436"/>
      </w:tblGrid>
      <w:tr>
        <w:tc>
          <w:tcPr>
            <w:tcW w:type="dxa" w:w="2436"/>
            <w:shd w:fill="D9EAF7"/>
            <w:tcMar>
              <w:top w:w="70" w:type="dxa"/>
              <w:start w:w="70" w:type="dxa"/>
              <w:bottom w:w="70" w:type="dxa"/>
              <w:end w:w="70" w:type="dxa"/>
            </w:tcMar>
          </w:tcPr>
          <w:p>
            <w:pPr>
              <w:jc w:val="center"/>
            </w:pPr>
            <w:r>
              <w:rPr>
                <w:rFonts w:ascii="Noto Sans CJK KR" w:hAnsi="Noto Sans CJK KR" w:eastAsia="Noto Sans CJK KR"/>
                <w:b/>
                <w:color w:val="1F4E79"/>
                <w:sz w:val="17"/>
              </w:rPr>
              <w:t>구분</w:t>
            </w:r>
          </w:p>
        </w:tc>
        <w:tc>
          <w:tcPr>
            <w:tcW w:type="dxa" w:w="2436"/>
            <w:shd w:fill="D9EAF7"/>
            <w:tcMar>
              <w:top w:w="70" w:type="dxa"/>
              <w:start w:w="70" w:type="dxa"/>
              <w:bottom w:w="70" w:type="dxa"/>
              <w:end w:w="70" w:type="dxa"/>
            </w:tcMar>
          </w:tcPr>
          <w:p>
            <w:pPr>
              <w:jc w:val="center"/>
            </w:pPr>
            <w:r>
              <w:rPr>
                <w:rFonts w:ascii="Noto Sans CJK KR" w:hAnsi="Noto Sans CJK KR" w:eastAsia="Noto Sans CJK KR"/>
                <w:b/>
                <w:color w:val="1F4E79"/>
                <w:sz w:val="17"/>
              </w:rPr>
              <w:t>SK</w:t>
            </w:r>
          </w:p>
        </w:tc>
        <w:tc>
          <w:tcPr>
            <w:tcW w:type="dxa" w:w="2436"/>
            <w:shd w:fill="D9EAF7"/>
            <w:tcMar>
              <w:top w:w="70" w:type="dxa"/>
              <w:start w:w="70" w:type="dxa"/>
              <w:bottom w:w="70" w:type="dxa"/>
              <w:end w:w="70" w:type="dxa"/>
            </w:tcMar>
          </w:tcPr>
          <w:p>
            <w:pPr>
              <w:jc w:val="center"/>
            </w:pPr>
            <w:r>
              <w:rPr>
                <w:rFonts w:ascii="Noto Sans CJK KR" w:hAnsi="Noto Sans CJK KR" w:eastAsia="Noto Sans CJK KR"/>
                <w:b/>
                <w:color w:val="1F4E79"/>
                <w:sz w:val="17"/>
              </w:rPr>
              <w:t>유한킴벌리</w:t>
            </w:r>
          </w:p>
        </w:tc>
        <w:tc>
          <w:tcPr>
            <w:tcW w:type="dxa" w:w="2436"/>
            <w:shd w:fill="D9EAF7"/>
            <w:tcMar>
              <w:top w:w="70" w:type="dxa"/>
              <w:start w:w="70" w:type="dxa"/>
              <w:bottom w:w="70" w:type="dxa"/>
              <w:end w:w="70" w:type="dxa"/>
            </w:tcMar>
          </w:tcPr>
          <w:p>
            <w:pPr>
              <w:jc w:val="center"/>
            </w:pPr>
            <w:r>
              <w:rPr>
                <w:rFonts w:ascii="Noto Sans CJK KR" w:hAnsi="Noto Sans CJK KR" w:eastAsia="Noto Sans CJK KR"/>
                <w:b/>
                <w:color w:val="1F4E79"/>
                <w:sz w:val="17"/>
              </w:rPr>
              <w:t>파타고니아</w:t>
            </w:r>
          </w:p>
        </w:tc>
      </w:tr>
      <w:tr>
        <w:tc>
          <w:tcPr>
            <w:tcW w:type="dxa" w:w="2436"/>
            <w:tcMar>
              <w:top w:w="60" w:type="dxa"/>
              <w:start w:w="70" w:type="dxa"/>
              <w:bottom w:w="60" w:type="dxa"/>
              <w:end w:w="70" w:type="dxa"/>
            </w:tcMar>
            <w:vAlign w:val="center"/>
          </w:tcPr>
          <w:p>
            <w:pPr>
              <w:jc w:val="center"/>
            </w:pPr>
            <w:r>
              <w:rPr>
                <w:rFonts w:ascii="Noto Sans CJK KR" w:hAnsi="Noto Sans CJK KR" w:eastAsia="Noto Sans CJK KR"/>
                <w:b/>
                <w:sz w:val="16"/>
              </w:rPr>
              <w:t>핵심 접근</w:t>
            </w:r>
          </w:p>
        </w:tc>
        <w:tc>
          <w:tcPr>
            <w:tcW w:type="dxa" w:w="2436"/>
            <w:tcMar>
              <w:top w:w="60" w:type="dxa"/>
              <w:start w:w="70" w:type="dxa"/>
              <w:bottom w:w="60" w:type="dxa"/>
              <w:end w:w="70" w:type="dxa"/>
            </w:tcMar>
            <w:vAlign w:val="center"/>
          </w:tcPr>
          <w:p>
            <w:pPr>
              <w:jc w:val="left"/>
            </w:pPr>
            <w:r>
              <w:rPr>
                <w:rFonts w:ascii="Noto Sans CJK KR" w:hAnsi="Noto Sans CJK KR" w:eastAsia="Noto Sans CJK KR"/>
                <w:b w:val="0"/>
                <w:sz w:val="16"/>
              </w:rPr>
              <w:t>사회적 가치 측정·관리(DBL)</w:t>
            </w:r>
          </w:p>
        </w:tc>
        <w:tc>
          <w:tcPr>
            <w:tcW w:type="dxa" w:w="2436"/>
            <w:tcMar>
              <w:top w:w="60" w:type="dxa"/>
              <w:start w:w="70" w:type="dxa"/>
              <w:bottom w:w="60" w:type="dxa"/>
              <w:end w:w="70" w:type="dxa"/>
            </w:tcMar>
            <w:vAlign w:val="center"/>
          </w:tcPr>
          <w:p>
            <w:pPr>
              <w:jc w:val="left"/>
            </w:pPr>
            <w:r>
              <w:rPr>
                <w:rFonts w:ascii="Noto Sans CJK KR" w:hAnsi="Noto Sans CJK KR" w:eastAsia="Noto Sans CJK KR"/>
                <w:b w:val="0"/>
                <w:sz w:val="16"/>
              </w:rPr>
              <w:t>장기 환경 공익캠페인</w:t>
            </w:r>
          </w:p>
        </w:tc>
        <w:tc>
          <w:tcPr>
            <w:tcW w:type="dxa" w:w="2436"/>
            <w:tcMar>
              <w:top w:w="60" w:type="dxa"/>
              <w:start w:w="70" w:type="dxa"/>
              <w:bottom w:w="60" w:type="dxa"/>
              <w:end w:w="70" w:type="dxa"/>
            </w:tcMar>
            <w:vAlign w:val="center"/>
          </w:tcPr>
          <w:p>
            <w:pPr>
              <w:jc w:val="left"/>
            </w:pPr>
            <w:r>
              <w:rPr>
                <w:rFonts w:ascii="Noto Sans CJK KR" w:hAnsi="Noto Sans CJK KR" w:eastAsia="Noto Sans CJK KR"/>
                <w:b w:val="0"/>
                <w:sz w:val="16"/>
              </w:rPr>
              <w:t>기업 목적·소유구조의 제도화</w:t>
            </w:r>
          </w:p>
        </w:tc>
      </w:tr>
      <w:tr>
        <w:tc>
          <w:tcPr>
            <w:tcW w:type="dxa" w:w="2436"/>
            <w:tcMar>
              <w:top w:w="60" w:type="dxa"/>
              <w:start w:w="70" w:type="dxa"/>
              <w:bottom w:w="60" w:type="dxa"/>
              <w:end w:w="70" w:type="dxa"/>
            </w:tcMar>
            <w:vAlign w:val="center"/>
          </w:tcPr>
          <w:p>
            <w:pPr>
              <w:jc w:val="center"/>
            </w:pPr>
            <w:r>
              <w:rPr>
                <w:rFonts w:ascii="Noto Sans CJK KR" w:hAnsi="Noto Sans CJK KR" w:eastAsia="Noto Sans CJK KR"/>
                <w:b/>
                <w:sz w:val="16"/>
              </w:rPr>
              <w:t>사회문제와 연결</w:t>
            </w:r>
          </w:p>
        </w:tc>
        <w:tc>
          <w:tcPr>
            <w:tcW w:type="dxa" w:w="2436"/>
            <w:tcMar>
              <w:top w:w="60" w:type="dxa"/>
              <w:start w:w="70" w:type="dxa"/>
              <w:bottom w:w="60" w:type="dxa"/>
              <w:end w:w="70" w:type="dxa"/>
            </w:tcMar>
            <w:vAlign w:val="center"/>
          </w:tcPr>
          <w:p>
            <w:pPr>
              <w:jc w:val="left"/>
            </w:pPr>
            <w:r>
              <w:rPr>
                <w:rFonts w:ascii="Noto Sans CJK KR" w:hAnsi="Noto Sans CJK KR" w:eastAsia="Noto Sans CJK KR"/>
                <w:b w:val="0"/>
                <w:sz w:val="16"/>
              </w:rPr>
              <w:t>환경·고용·제품/서비스 등 포괄</w:t>
            </w:r>
          </w:p>
        </w:tc>
        <w:tc>
          <w:tcPr>
            <w:tcW w:type="dxa" w:w="2436"/>
            <w:tcMar>
              <w:top w:w="60" w:type="dxa"/>
              <w:start w:w="70" w:type="dxa"/>
              <w:bottom w:w="60" w:type="dxa"/>
              <w:end w:w="70" w:type="dxa"/>
            </w:tcMar>
            <w:vAlign w:val="center"/>
          </w:tcPr>
          <w:p>
            <w:pPr>
              <w:jc w:val="left"/>
            </w:pPr>
            <w:r>
              <w:rPr>
                <w:rFonts w:ascii="Noto Sans CJK KR" w:hAnsi="Noto Sans CJK KR" w:eastAsia="Noto Sans CJK KR"/>
                <w:b w:val="0"/>
                <w:sz w:val="16"/>
              </w:rPr>
              <w:t>산림·도시숲·환경인식</w:t>
            </w:r>
          </w:p>
        </w:tc>
        <w:tc>
          <w:tcPr>
            <w:tcW w:type="dxa" w:w="2436"/>
            <w:tcMar>
              <w:top w:w="60" w:type="dxa"/>
              <w:start w:w="70" w:type="dxa"/>
              <w:bottom w:w="60" w:type="dxa"/>
              <w:end w:w="70" w:type="dxa"/>
            </w:tcMar>
            <w:vAlign w:val="center"/>
          </w:tcPr>
          <w:p>
            <w:pPr>
              <w:jc w:val="left"/>
            </w:pPr>
            <w:r>
              <w:rPr>
                <w:rFonts w:ascii="Noto Sans CJK KR" w:hAnsi="Noto Sans CJK KR" w:eastAsia="Noto Sans CJK KR"/>
                <w:b w:val="0"/>
                <w:sz w:val="16"/>
              </w:rPr>
              <w:t>기후위기·환경보호·책임소비</w:t>
            </w:r>
          </w:p>
        </w:tc>
      </w:tr>
      <w:tr>
        <w:tc>
          <w:tcPr>
            <w:tcW w:type="dxa" w:w="2436"/>
            <w:tcMar>
              <w:top w:w="60" w:type="dxa"/>
              <w:start w:w="70" w:type="dxa"/>
              <w:bottom w:w="60" w:type="dxa"/>
              <w:end w:w="70" w:type="dxa"/>
            </w:tcMar>
            <w:vAlign w:val="center"/>
          </w:tcPr>
          <w:p>
            <w:pPr>
              <w:jc w:val="center"/>
            </w:pPr>
            <w:r>
              <w:rPr>
                <w:rFonts w:ascii="Noto Sans CJK KR" w:hAnsi="Noto Sans CJK KR" w:eastAsia="Noto Sans CJK KR"/>
                <w:b/>
                <w:sz w:val="16"/>
              </w:rPr>
              <w:t>강점</w:t>
            </w:r>
          </w:p>
        </w:tc>
        <w:tc>
          <w:tcPr>
            <w:tcW w:type="dxa" w:w="2436"/>
            <w:tcMar>
              <w:top w:w="60" w:type="dxa"/>
              <w:start w:w="70" w:type="dxa"/>
              <w:bottom w:w="60" w:type="dxa"/>
              <w:end w:w="70" w:type="dxa"/>
            </w:tcMar>
            <w:vAlign w:val="center"/>
          </w:tcPr>
          <w:p>
            <w:pPr>
              <w:jc w:val="left"/>
            </w:pPr>
            <w:r>
              <w:rPr>
                <w:rFonts w:ascii="Noto Sans CJK KR" w:hAnsi="Noto Sans CJK KR" w:eastAsia="Noto Sans CJK KR"/>
                <w:b w:val="0"/>
                <w:sz w:val="16"/>
              </w:rPr>
              <w:t>경영성과로 계량화·공개</w:t>
            </w:r>
          </w:p>
        </w:tc>
        <w:tc>
          <w:tcPr>
            <w:tcW w:type="dxa" w:w="2436"/>
            <w:tcMar>
              <w:top w:w="60" w:type="dxa"/>
              <w:start w:w="70" w:type="dxa"/>
              <w:bottom w:w="60" w:type="dxa"/>
              <w:end w:w="70" w:type="dxa"/>
            </w:tcMar>
            <w:vAlign w:val="center"/>
          </w:tcPr>
          <w:p>
            <w:pPr>
              <w:jc w:val="left"/>
            </w:pPr>
            <w:r>
              <w:rPr>
                <w:rFonts w:ascii="Noto Sans CJK KR" w:hAnsi="Noto Sans CJK KR" w:eastAsia="Noto Sans CJK KR"/>
                <w:b w:val="0"/>
                <w:sz w:val="16"/>
              </w:rPr>
              <w:t>40년 이상 지속성과 협력 네트워크</w:t>
            </w:r>
          </w:p>
        </w:tc>
        <w:tc>
          <w:tcPr>
            <w:tcW w:type="dxa" w:w="2436"/>
            <w:tcMar>
              <w:top w:w="60" w:type="dxa"/>
              <w:start w:w="70" w:type="dxa"/>
              <w:bottom w:w="60" w:type="dxa"/>
              <w:end w:w="70" w:type="dxa"/>
            </w:tcMar>
            <w:vAlign w:val="center"/>
          </w:tcPr>
          <w:p>
            <w:pPr>
              <w:jc w:val="left"/>
            </w:pPr>
            <w:r>
              <w:rPr>
                <w:rFonts w:ascii="Noto Sans CJK KR" w:hAnsi="Noto Sans CJK KR" w:eastAsia="Noto Sans CJK KR"/>
                <w:b w:val="0"/>
                <w:sz w:val="16"/>
              </w:rPr>
              <w:t>미션을 지배구조에 내재화</w:t>
            </w:r>
          </w:p>
        </w:tc>
      </w:tr>
      <w:tr>
        <w:tc>
          <w:tcPr>
            <w:tcW w:type="dxa" w:w="2436"/>
            <w:tcMar>
              <w:top w:w="60" w:type="dxa"/>
              <w:start w:w="70" w:type="dxa"/>
              <w:bottom w:w="60" w:type="dxa"/>
              <w:end w:w="70" w:type="dxa"/>
            </w:tcMar>
            <w:vAlign w:val="center"/>
          </w:tcPr>
          <w:p>
            <w:pPr>
              <w:jc w:val="center"/>
            </w:pPr>
            <w:r>
              <w:rPr>
                <w:rFonts w:ascii="Noto Sans CJK KR" w:hAnsi="Noto Sans CJK KR" w:eastAsia="Noto Sans CJK KR"/>
                <w:b/>
                <w:sz w:val="16"/>
              </w:rPr>
              <w:t>보완 과제</w:t>
            </w:r>
          </w:p>
        </w:tc>
        <w:tc>
          <w:tcPr>
            <w:tcW w:type="dxa" w:w="2436"/>
            <w:tcMar>
              <w:top w:w="60" w:type="dxa"/>
              <w:start w:w="70" w:type="dxa"/>
              <w:bottom w:w="60" w:type="dxa"/>
              <w:end w:w="70" w:type="dxa"/>
            </w:tcMar>
            <w:vAlign w:val="center"/>
          </w:tcPr>
          <w:p>
            <w:pPr>
              <w:jc w:val="left"/>
            </w:pPr>
            <w:r>
              <w:rPr>
                <w:rFonts w:ascii="Noto Sans CJK KR" w:hAnsi="Noto Sans CJK KR" w:eastAsia="Noto Sans CJK KR"/>
                <w:b w:val="0"/>
                <w:sz w:val="16"/>
              </w:rPr>
              <w:t>측정기준·외부검증 강화</w:t>
            </w:r>
          </w:p>
        </w:tc>
        <w:tc>
          <w:tcPr>
            <w:tcW w:type="dxa" w:w="2436"/>
            <w:tcMar>
              <w:top w:w="60" w:type="dxa"/>
              <w:start w:w="70" w:type="dxa"/>
              <w:bottom w:w="60" w:type="dxa"/>
              <w:end w:w="70" w:type="dxa"/>
            </w:tcMar>
            <w:vAlign w:val="center"/>
          </w:tcPr>
          <w:p>
            <w:pPr>
              <w:jc w:val="left"/>
            </w:pPr>
            <w:r>
              <w:rPr>
                <w:rFonts w:ascii="Noto Sans CJK KR" w:hAnsi="Noto Sans CJK KR" w:eastAsia="Noto Sans CJK KR"/>
                <w:b w:val="0"/>
                <w:sz w:val="16"/>
              </w:rPr>
              <w:t>Outcome·Impact 지표 고도화</w:t>
            </w:r>
          </w:p>
        </w:tc>
        <w:tc>
          <w:tcPr>
            <w:tcW w:type="dxa" w:w="2436"/>
            <w:tcMar>
              <w:top w:w="60" w:type="dxa"/>
              <w:start w:w="70" w:type="dxa"/>
              <w:bottom w:w="60" w:type="dxa"/>
              <w:end w:w="70" w:type="dxa"/>
            </w:tcMar>
            <w:vAlign w:val="center"/>
          </w:tcPr>
          <w:p>
            <w:pPr>
              <w:jc w:val="left"/>
            </w:pPr>
            <w:r>
              <w:rPr>
                <w:rFonts w:ascii="Noto Sans CJK KR" w:hAnsi="Noto Sans CJK KR" w:eastAsia="Noto Sans CJK KR"/>
                <w:b w:val="0"/>
                <w:sz w:val="16"/>
              </w:rPr>
              <w:t>공급망 전 과정의 일관성 검증</w:t>
            </w:r>
          </w:p>
        </w:tc>
      </w:tr>
    </w:tbl>
    <w:p>
      <w:pPr>
        <w:spacing w:line="372" w:lineRule="auto" w:after="140"/>
        <w:ind w:firstLine="369"/>
      </w:pPr>
      <w:r>
        <w:rPr>
          <w:rFonts w:ascii="Noto Sans CJK KR" w:hAnsi="Noto Sans CJK KR" w:eastAsia="Noto Sans CJK KR"/>
          <w:b w:val="0"/>
          <w:sz w:val="21"/>
        </w:rPr>
        <w:t>세 사례를 비교하면 사회적 가치 창출의 방식은 서로 다르지만 공통적으로 몇 가지 조건을 확인할 수 있다. 첫째, 사회적 책임이 본업과 분리된 활동으로 존재하기보다 경영전략과 핵심 역량에 연결되어야 한다. SK는 측정 체계를 통해 사업 의사결정에 사회적 가치를 넣고, 유한킴벌리는 환경이라는 주제를 기업 정체성과 장기간 결합했으며, 파타고니아는 기업 목적을 소유구조에까지 반영하였다. 이처럼 사회적 책임이 조직 내부의 제도와 자원배분 기준에 들어갈 때 활동의 지속성이 높아진다.</w:t>
      </w:r>
    </w:p>
    <w:p>
      <w:pPr>
        <w:spacing w:line="372" w:lineRule="auto" w:after="140"/>
        <w:ind w:firstLine="369"/>
      </w:pPr>
      <w:r>
        <w:rPr>
          <w:rFonts w:ascii="Noto Sans CJK KR" w:hAnsi="Noto Sans CJK KR" w:eastAsia="Noto Sans CJK KR"/>
          <w:b w:val="0"/>
          <w:sz w:val="21"/>
        </w:rPr>
        <w:t>둘째, 사회적 가치 활동은 이해관계자와의 협력을 통해 확장될 수 있다. 기업 혼자 해결하기 어려운 환경·복지·지역사회 문제는 정부, 시민사회, 고객, 협력사와의 공동행동이 필요하다. 유한킴벌리의 장기적 숲 조성은 다양한 외부 주체와의 파트너십이 있었기에 확장될 수 있었고, SK도 사회적 가치 측정의 표준화를 위해 외부 이니셔티브와 협력하고 있다. 셋째, 성과는 투입과 활동량을 넘어 결과와 사회적 영향까지 측정해야 한다. 기부금액, 식재량, 캠페인 참여자 수는 이해하기 쉬운 지표이지만 실제 사회문제가 얼마나 개선되었는지를 충분히 보여주지는 못한다.</w:t>
      </w:r>
    </w:p>
    <w:p>
      <w:pPr>
        <w:spacing w:line="372" w:lineRule="auto" w:after="140"/>
        <w:ind w:firstLine="369"/>
      </w:pPr>
      <w:r>
        <w:rPr>
          <w:rFonts w:ascii="Noto Sans CJK KR" w:hAnsi="Noto Sans CJK KR" w:eastAsia="Noto Sans CJK KR"/>
          <w:b w:val="0"/>
          <w:sz w:val="21"/>
        </w:rPr>
        <w:t>넷째, 사회적 책임은 기업의 긍정적 활동을 홍보하는 수단이 아니라 부정적 영향을 줄이는 과정까지 포함해야 한다. 기업이 환경 캠페인을 적극적으로 수행하더라도 생산 과정에서 과도한 탄소배출이나 공급망 인권 문제가 발생한다면 사회적 가치의 진정성은 훼손된다. 따라서 기업은 긍정적 기여와 함께 사업으로 인해 발생하는 외부비용을 투명하게 공개하고 감축해야 한다. 다섯째, 사회적 책임의 장기적 성과는 신뢰라는 무형자산으로 축적된다. 단기 성과를 위해 이슈를 빈번하게 바꾸기보다 기업의 역량과 사회적 필요가 만나는 핵심 의제를 선택하고 지속적으로 투자하는 것이 중요하다.</w:t>
      </w:r>
    </w:p>
    <w:p>
      <w:pPr>
        <w:pStyle w:val="Heading1"/>
        <w:spacing w:before="80" w:after="140"/>
      </w:pPr>
      <w:r>
        <w:t>Ⅲ. 결론</w:t>
      </w:r>
    </w:p>
    <w:p>
      <w:pPr>
        <w:spacing w:line="372" w:lineRule="auto" w:after="140"/>
        <w:ind w:firstLine="369"/>
      </w:pPr>
      <w:r>
        <w:rPr>
          <w:rFonts w:ascii="Noto Sans CJK KR" w:hAnsi="Noto Sans CJK KR" w:eastAsia="Noto Sans CJK KR"/>
          <w:b w:val="0"/>
          <w:sz w:val="21"/>
        </w:rPr>
        <w:t>기업의 사회적 책임은 더 이상 선택적인 자선활동이나 이미지 관리 차원의 부가 업무로만 보기 어렵다. 시장의 지속가능성을 위협하는 환경·사회 문제는 기업의 비용, 수요, 공급망, 인재 확보, 규제와 직결되며 장기적인 경쟁력에 영향을 미친다. 이러한 상황에서 사회적 가치 창출은 기업이 사회적 문제 해결에 기여하면서 동시에 새로운 혁신과 신뢰를 형성하는 경영 방식으로 이해할 필요가 있다.</w:t>
      </w:r>
    </w:p>
    <w:p>
      <w:pPr>
        <w:spacing w:line="372" w:lineRule="auto" w:after="140"/>
        <w:ind w:firstLine="369"/>
      </w:pPr>
      <w:r>
        <w:rPr>
          <w:rFonts w:ascii="Noto Sans CJK KR" w:hAnsi="Noto Sans CJK KR" w:eastAsia="Noto Sans CJK KR"/>
          <w:b w:val="0"/>
          <w:sz w:val="21"/>
        </w:rPr>
        <w:t>SK의 사례는 사회적 가치가 경영에서 관리되기 위해서는 측정과 공개의 체계가 필요하다는 점을 보여준다. 유한킴벌리의 사례는 사회적 책임이 장기간 일관되게 지속될 때 브랜드 신뢰와 사회적 자산으로 발전할 수 있음을 보여준다. 파타고니아의 사례는 사회적 목적을 기업의 선언문 수준에 두지 않고 소유구조와 의사결정 체계에 내재화할 수 있다는 가능성을 제시한다. 따라서 효과적인 사회적 책임 활동은 ‘좋은 일을 많이 하는 기업’에 머무르지 않고 기업의 전략, 성과평가, 투자, 조직문화, 지배구조 전반이 사회적 가치와 연결되어야 한다.</w:t>
      </w:r>
    </w:p>
    <w:p>
      <w:pPr>
        <w:spacing w:line="372" w:lineRule="auto" w:after="140"/>
        <w:ind w:firstLine="369"/>
      </w:pPr>
      <w:r>
        <w:rPr>
          <w:rFonts w:ascii="Noto Sans CJK KR" w:hAnsi="Noto Sans CJK KR" w:eastAsia="Noto Sans CJK KR"/>
          <w:b w:val="0"/>
          <w:sz w:val="21"/>
        </w:rPr>
        <w:t>학습자의 관점에서 특히 중요하다고 생각하는 시사점은 진정성과 검증가능성이다. 사회적 가치가 기업 홍보 문구로만 소비되면 이해관계자의 신뢰를 얻기 어렵고, 오히려 그린워싱이나 소셜워싱 논란으로 이어질 수 있다. 기업은 자신이 잘할 수 있는 사회적 문제를 선택하고 장기간 투자하되, 성과뿐 아니라 한계와 부정적 영향도 함께 공개해야 한다. 또한 외부기관과 이해관계자가 성과를 검증할 수 있도록 지표와 산정방식을 투명하게 제시해야 한다. 결국 기업의 사회적 책임은 기업과 사회가 장기적으로 함께 지속가능해지기 위한 경영의 기본조건이며, 사회적 가치 창출은 그 책임을 전략과 성과로 구체화하는 과정이라고 판단한다.</w:t>
      </w:r>
    </w:p>
    <w:p>
      <w:pPr>
        <w:pStyle w:val="Heading1"/>
        <w:spacing w:before="80" w:after="140"/>
      </w:pPr>
      <w:r>
        <w:t>Ⅳ. 참고문헌</w:t>
      </w:r>
    </w:p>
    <w:p>
      <w:pPr>
        <w:spacing w:line="264" w:lineRule="auto" w:after="40"/>
        <w:ind w:left="369" w:hanging="369"/>
      </w:pPr>
      <w:r>
        <w:rPr>
          <w:rFonts w:ascii="Noto Sans CJK KR" w:hAnsi="Noto Sans CJK KR" w:eastAsia="Noto Sans CJK KR"/>
          <w:b w:val="0"/>
          <w:sz w:val="17"/>
        </w:rPr>
        <w:t>Carroll, A. B. (1991). The pyramid of corporate social responsibility: Toward the moral management of organizational stakeholders. Business Horizons, 34(4), 39–48.</w:t>
      </w:r>
    </w:p>
    <w:p>
      <w:pPr>
        <w:spacing w:line="264" w:lineRule="auto" w:after="40"/>
        <w:ind w:left="369" w:hanging="369"/>
      </w:pPr>
      <w:r>
        <w:rPr>
          <w:rFonts w:ascii="Noto Sans CJK KR" w:hAnsi="Noto Sans CJK KR" w:eastAsia="Noto Sans CJK KR"/>
          <w:b w:val="0"/>
          <w:sz w:val="17"/>
        </w:rPr>
        <w:t>Freeman, R. E. (1984). Strategic management: A stakeholder approach. Pitman.</w:t>
      </w:r>
    </w:p>
    <w:p>
      <w:pPr>
        <w:spacing w:line="264" w:lineRule="auto" w:after="40"/>
        <w:ind w:left="369" w:hanging="369"/>
      </w:pPr>
      <w:r>
        <w:rPr>
          <w:rFonts w:ascii="Noto Sans CJK KR" w:hAnsi="Noto Sans CJK KR" w:eastAsia="Noto Sans CJK KR"/>
          <w:b w:val="0"/>
          <w:sz w:val="17"/>
        </w:rPr>
        <w:t>Porter, M. E., &amp; Kramer, M. R. (2011). Creating shared value. Harvard Business Review, 89(1/2), 62–77.</w:t>
      </w:r>
    </w:p>
    <w:p>
      <w:pPr>
        <w:spacing w:line="264" w:lineRule="auto" w:after="40"/>
        <w:ind w:left="369" w:hanging="369"/>
      </w:pPr>
      <w:r>
        <w:rPr>
          <w:rFonts w:ascii="Noto Sans CJK KR" w:hAnsi="Noto Sans CJK KR" w:eastAsia="Noto Sans CJK KR"/>
          <w:b w:val="0"/>
          <w:sz w:val="17"/>
        </w:rPr>
        <w:t>SK. (2024a). SK PROFILE 2024. https://www.sk.com/</w:t>
      </w:r>
    </w:p>
    <w:p>
      <w:pPr>
        <w:spacing w:line="264" w:lineRule="auto" w:after="40"/>
        <w:ind w:left="369" w:hanging="369"/>
      </w:pPr>
      <w:r>
        <w:rPr>
          <w:rFonts w:ascii="Noto Sans CJK KR" w:hAnsi="Noto Sans CJK KR" w:eastAsia="Noto Sans CJK KR"/>
          <w:b w:val="0"/>
          <w:sz w:val="17"/>
        </w:rPr>
        <w:t>SK. (2024b, May 22). SK, 2023년 사회적가치 16.8조원 창출. SK 뉴스. https://www.sk.com/</w:t>
      </w:r>
    </w:p>
    <w:p>
      <w:pPr>
        <w:spacing w:line="264" w:lineRule="auto" w:after="40"/>
        <w:ind w:left="369" w:hanging="369"/>
      </w:pPr>
      <w:r>
        <w:rPr>
          <w:rFonts w:ascii="Noto Sans CJK KR" w:hAnsi="Noto Sans CJK KR" w:eastAsia="Noto Sans CJK KR"/>
          <w:b w:val="0"/>
          <w:sz w:val="17"/>
        </w:rPr>
        <w:t>유한킴벌리. (2025). 2024 유한킴벌리 지속가능성보고서 「사람이 희망이다」. https://www.yuhan-kimberly.co.kr/</w:t>
      </w:r>
    </w:p>
    <w:p>
      <w:pPr>
        <w:spacing w:line="264" w:lineRule="auto" w:after="40"/>
        <w:ind w:left="369" w:hanging="369"/>
      </w:pPr>
      <w:r>
        <w:rPr>
          <w:rFonts w:ascii="Noto Sans CJK KR" w:hAnsi="Noto Sans CJK KR" w:eastAsia="Noto Sans CJK KR"/>
          <w:b w:val="0"/>
          <w:sz w:val="17"/>
        </w:rPr>
        <w:t>유한킴벌리. (n.d.). 우리강산 푸르게 푸르게: 비전과 심볼. https://www.yuhan-kimberly.co.kr/</w:t>
      </w:r>
    </w:p>
    <w:p>
      <w:pPr>
        <w:spacing w:line="264" w:lineRule="auto" w:after="40"/>
        <w:ind w:left="369" w:hanging="369"/>
      </w:pPr>
      <w:r>
        <w:rPr>
          <w:rFonts w:ascii="Noto Sans CJK KR" w:hAnsi="Noto Sans CJK KR" w:eastAsia="Noto Sans CJK KR"/>
          <w:b w:val="0"/>
          <w:sz w:val="17"/>
        </w:rPr>
        <w:t>Patagonia. (n.d.). Earth is now our only shareholder. https://www.patagonia.com/</w:t>
      </w:r>
    </w:p>
    <w:p>
      <w:pPr>
        <w:pStyle w:val="SmallNote"/>
        <w:spacing w:before="160"/>
      </w:pPr>
      <w:r>
        <w:rPr>
          <w:rFonts w:ascii="Noto Sans CJK KR" w:hAnsi="Noto Sans CJK KR" w:eastAsia="Noto Sans CJK KR"/>
          <w:b w:val="0"/>
          <w:color w:val="5A5A5A"/>
          <w:sz w:val="17"/>
        </w:rPr>
        <w:t>※ 기업 사례의 수치와 제도 설명은 각 기업이 공개한 공식 자료를 바탕으로 정리하였으며, 기업 자체 공시자료라는 점을 고려하여 해석할 필요가 있다.</w:t>
      </w:r>
    </w:p>
    <w:p>
      <w:pPr>
        <w:pageBreakBefore/>
        <w:spacing w:before="1100"/>
        <w:jc w:val="center"/>
      </w:pPr>
      <w:r>
        <w:rPr>
          <w:rFonts w:ascii="Noto Sans CJK KR" w:hAnsi="Noto Sans CJK KR" w:eastAsia="Noto Sans CJK KR"/>
          <w:b/>
          <w:color w:val="1F4E79"/>
          <w:sz w:val="36"/>
        </w:rPr>
        <w:t>과제 참고자료 이용 안내</w:t>
      </w:r>
    </w:p>
    <w:tbl>
      <w:tblPr>
        <w:tblW w:type="auto" w:w="0"/>
        <w:jc w:val="center"/>
        <w:tblLayout w:type="fixed"/>
        <w:tblLook w:firstColumn="1" w:firstRow="1" w:lastColumn="0" w:lastRow="0" w:noHBand="0" w:noVBand="1" w:val="04A0"/>
      </w:tblPr>
      <w:tblGrid>
        <w:gridCol w:w="9746"/>
      </w:tblGrid>
      <w:tr>
        <w:tc>
          <w:tcPr>
            <w:tcW w:type="dxa" w:w="8617"/>
            <w:shd w:fill="FFF4E5"/>
            <w:tcMar>
              <w:top w:w="220" w:type="dxa"/>
              <w:start w:w="260" w:type="dxa"/>
              <w:bottom w:w="220" w:type="dxa"/>
              <w:end w:w="260" w:type="dxa"/>
            </w:tcMar>
          </w:tcPr>
          <w:p>
            <w:pPr>
              <w:jc w:val="center"/>
            </w:pPr>
            <w:r>
              <w:rPr>
                <w:rFonts w:ascii="Noto Sans CJK KR" w:hAnsi="Noto Sans CJK KR" w:eastAsia="Noto Sans CJK KR"/>
                <w:b/>
                <w:color w:val="1F4E79"/>
                <w:sz w:val="26"/>
              </w:rPr>
              <w:t>주의사항</w:t>
              <w:br/>
            </w:r>
            <w:r>
              <w:rPr>
                <w:rFonts w:ascii="Noto Sans CJK KR" w:hAnsi="Noto Sans CJK KR" w:eastAsia="Noto Sans CJK KR"/>
                <w:b w:val="0"/>
                <w:sz w:val="21"/>
              </w:rP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tc>
      </w:tr>
    </w:tbl>
    <w:p>
      <w:pPr>
        <w:spacing w:after="60"/>
      </w:pPr>
    </w:p>
    <w:tbl>
      <w:tblPr>
        <w:tblW w:type="auto" w:w="0"/>
        <w:jc w:val="center"/>
        <w:tblLayout w:type="fixed"/>
        <w:tblLook w:firstColumn="1" w:firstRow="1" w:lastColumn="0" w:lastRow="0" w:noHBand="0" w:noVBand="1" w:val="04A0"/>
      </w:tblPr>
      <w:tblGrid>
        <w:gridCol w:w="9746"/>
      </w:tblGrid>
      <w:tr>
        <w:tc>
          <w:tcPr>
            <w:tcW w:type="dxa" w:w="8617"/>
            <w:shd w:fill="EAF2F8"/>
            <w:tcMar>
              <w:top w:w="220" w:type="dxa"/>
              <w:start w:w="260" w:type="dxa"/>
              <w:bottom w:w="220" w:type="dxa"/>
              <w:end w:w="260" w:type="dxa"/>
            </w:tcMar>
          </w:tcPr>
          <w:p>
            <w:pPr>
              <w:jc w:val="center"/>
            </w:pPr>
            <w:r>
              <w:rPr>
                <w:rFonts w:ascii="Noto Sans CJK KR" w:hAnsi="Noto Sans CJK KR" w:eastAsia="Noto Sans CJK KR"/>
                <w:b/>
                <w:color w:val="1F4E79"/>
                <w:sz w:val="26"/>
              </w:rPr>
              <w:t>과제 수정이 어려우신가요?</w:t>
              <w:br/>
            </w:r>
            <w:r>
              <w:rPr>
                <w:rFonts w:ascii="Noto Sans CJK KR" w:hAnsi="Noto Sans CJK KR" w:eastAsia="Noto Sans CJK KR"/>
                <w:b w:val="0"/>
                <w:sz w:val="21"/>
              </w:rPr>
              <w:t>국민원격교육관리센터에서 1:1 과제 수정 도움을 드립니다.</w:t>
              <w:br/>
              <w:t>아래 연락처로 문의해 주세요.</w:t>
            </w:r>
          </w:p>
        </w:tc>
      </w:tr>
    </w:tbl>
    <w:p>
      <w:pPr>
        <w:spacing w:after="60"/>
      </w:pPr>
    </w:p>
    <w:tbl>
      <w:tblPr>
        <w:tblStyle w:val="TableGrid"/>
        <w:tblW w:type="auto" w:w="0"/>
        <w:jc w:val="center"/>
        <w:tblLayout w:type="fixed"/>
        <w:tblLook w:firstColumn="1" w:firstRow="1" w:lastColumn="0" w:lastRow="0" w:noHBand="0" w:noVBand="1" w:val="04A0"/>
      </w:tblPr>
      <w:tblGrid>
        <w:gridCol w:w="1984"/>
        <w:gridCol w:w="6123"/>
      </w:tblGrid>
      <w:tr>
        <w:tc>
          <w:tcPr>
            <w:tcW w:type="dxa" w:w="4873"/>
            <w:shd w:fill="EAF2F8"/>
            <w:tcMar>
              <w:top w:w="120" w:type="dxa"/>
              <w:start w:w="140" w:type="dxa"/>
              <w:bottom w:w="120" w:type="dxa"/>
              <w:end w:w="140" w:type="dxa"/>
            </w:tcMar>
          </w:tcPr>
          <w:p>
            <w:pPr>
              <w:jc w:val="center"/>
            </w:pPr>
            <w:r>
              <w:rPr>
                <w:rFonts w:ascii="Noto Sans CJK KR" w:hAnsi="Noto Sans CJK KR" w:eastAsia="Noto Sans CJK KR"/>
                <w:b/>
                <w:color w:val="1F4E79"/>
                <w:sz w:val="21"/>
              </w:rPr>
              <w:t>전화</w:t>
            </w:r>
          </w:p>
        </w:tc>
        <w:tc>
          <w:tcPr>
            <w:tcW w:type="dxa" w:w="4873"/>
            <w:tcMar>
              <w:top w:w="120" w:type="dxa"/>
              <w:start w:w="140" w:type="dxa"/>
              <w:bottom w:w="120" w:type="dxa"/>
              <w:end w:w="140" w:type="dxa"/>
            </w:tcMar>
          </w:tcPr>
          <w:p>
            <w:r>
              <w:rPr>
                <w:rFonts w:ascii="Noto Sans CJK KR" w:hAnsi="Noto Sans CJK KR" w:eastAsia="Noto Sans CJK KR"/>
                <w:b/>
                <w:sz w:val="21"/>
              </w:rPr>
              <w:t>050-7878-7044</w:t>
            </w:r>
          </w:p>
        </w:tc>
      </w:tr>
      <w:tr>
        <w:tc>
          <w:tcPr>
            <w:tcW w:type="dxa" w:w="4873"/>
            <w:shd w:fill="EAF2F8"/>
            <w:tcMar>
              <w:top w:w="120" w:type="dxa"/>
              <w:start w:w="140" w:type="dxa"/>
              <w:bottom w:w="120" w:type="dxa"/>
              <w:end w:w="140" w:type="dxa"/>
            </w:tcMar>
          </w:tcPr>
          <w:p>
            <w:pPr>
              <w:jc w:val="center"/>
            </w:pPr>
            <w:r>
              <w:rPr>
                <w:rFonts w:ascii="Noto Sans CJK KR" w:hAnsi="Noto Sans CJK KR" w:eastAsia="Noto Sans CJK KR"/>
                <w:b/>
                <w:color w:val="1F4E79"/>
                <w:sz w:val="21"/>
              </w:rPr>
              <w:t>카카오톡</w:t>
            </w:r>
          </w:p>
        </w:tc>
        <w:tc>
          <w:tcPr>
            <w:tcW w:type="dxa" w:w="4873"/>
            <w:tcMar>
              <w:top w:w="120" w:type="dxa"/>
              <w:start w:w="140" w:type="dxa"/>
              <w:bottom w:w="120" w:type="dxa"/>
              <w:end w:w="140" w:type="dxa"/>
            </w:tcMar>
          </w:tcPr>
          <w:p>
            <w:r>
              <w:rPr>
                <w:rFonts w:ascii="Noto Sans CJK KR" w:hAnsi="Noto Sans CJK KR" w:eastAsia="Noto Sans CJK KR"/>
                <w:b/>
                <w:sz w:val="21"/>
              </w:rPr>
              <w:t>@국민원격교육관리센터</w:t>
            </w:r>
          </w:p>
        </w:tc>
      </w:tr>
      <w:tr>
        <w:tc>
          <w:tcPr>
            <w:tcW w:type="dxa" w:w="4873"/>
            <w:shd w:fill="EAF2F8"/>
            <w:tcMar>
              <w:top w:w="120" w:type="dxa"/>
              <w:start w:w="140" w:type="dxa"/>
              <w:bottom w:w="120" w:type="dxa"/>
              <w:end w:w="140" w:type="dxa"/>
            </w:tcMar>
          </w:tcPr>
          <w:p>
            <w:pPr>
              <w:jc w:val="center"/>
            </w:pPr>
            <w:r>
              <w:rPr>
                <w:rFonts w:ascii="Noto Sans CJK KR" w:hAnsi="Noto Sans CJK KR" w:eastAsia="Noto Sans CJK KR"/>
                <w:b/>
                <w:color w:val="1F4E79"/>
                <w:sz w:val="21"/>
              </w:rPr>
              <w:t>운영시간</w:t>
            </w:r>
          </w:p>
        </w:tc>
        <w:tc>
          <w:tcPr>
            <w:tcW w:type="dxa" w:w="4873"/>
            <w:tcMar>
              <w:top w:w="120" w:type="dxa"/>
              <w:start w:w="140" w:type="dxa"/>
              <w:bottom w:w="120" w:type="dxa"/>
              <w:end w:w="140" w:type="dxa"/>
            </w:tcMar>
          </w:tcPr>
          <w:p>
            <w:r>
              <w:rPr>
                <w:rFonts w:ascii="Noto Sans CJK KR" w:hAnsi="Noto Sans CJK KR" w:eastAsia="Noto Sans CJK KR"/>
                <w:b w:val="0"/>
                <w:sz w:val="21"/>
              </w:rPr>
              <w:t>평일 10:00–19:00</w:t>
            </w:r>
          </w:p>
        </w:tc>
      </w:tr>
      <w:tr>
        <w:tc>
          <w:tcPr>
            <w:tcW w:type="dxa" w:w="4873"/>
            <w:shd w:fill="EAF2F8"/>
            <w:tcMar>
              <w:top w:w="120" w:type="dxa"/>
              <w:start w:w="140" w:type="dxa"/>
              <w:bottom w:w="120" w:type="dxa"/>
              <w:end w:w="140" w:type="dxa"/>
            </w:tcMar>
          </w:tcPr>
          <w:p>
            <w:pPr>
              <w:jc w:val="center"/>
            </w:pPr>
            <w:r>
              <w:rPr>
                <w:rFonts w:ascii="Noto Sans CJK KR" w:hAnsi="Noto Sans CJK KR" w:eastAsia="Noto Sans CJK KR"/>
                <w:b/>
                <w:color w:val="1F4E79"/>
                <w:sz w:val="21"/>
              </w:rPr>
              <w:t>웹사이트</w:t>
            </w:r>
          </w:p>
        </w:tc>
        <w:tc>
          <w:tcPr>
            <w:tcW w:type="dxa" w:w="4873"/>
            <w:tcMar>
              <w:top w:w="120" w:type="dxa"/>
              <w:start w:w="140" w:type="dxa"/>
              <w:bottom w:w="120" w:type="dxa"/>
              <w:end w:w="140" w:type="dxa"/>
            </w:tcMar>
          </w:tcPr>
          <w:p>
            <w:r>
              <w:rPr>
                <w:rFonts w:ascii="Noto Sans CJK KR" w:hAnsi="Noto Sans CJK KR" w:eastAsia="Noto Sans CJK KR"/>
                <w:b w:val="0"/>
                <w:sz w:val="21"/>
              </w:rPr>
              <w:t>korealms.co.kr</w:t>
            </w:r>
          </w:p>
        </w:tc>
      </w:tr>
    </w:tbl>
    <w:p>
      <w:pPr>
        <w:pStyle w:val="SmallNote"/>
        <w:spacing w:before="360"/>
        <w:jc w:val="center"/>
      </w:pPr>
      <w:r>
        <w:rPr>
          <w:rFonts w:ascii="Noto Sans CJK KR" w:hAnsi="Noto Sans CJK KR" w:eastAsia="Noto Sans CJK KR"/>
          <w:b w:val="0"/>
          <w:color w:val="646464"/>
          <w:sz w:val="17"/>
        </w:rPr>
        <w:t>본 자료는 학습자의 이해를 돕기 위한 참고용 예시이며, 최종 제출 전 과제 지침과 인용 기준을 반드시 확인하시기 바랍니다.</w:t>
      </w:r>
    </w:p>
    <w:sectPr w:rsidR="00FC693F" w:rsidRPr="0006063C" w:rsidSect="00034616">
      <w:footerReference w:type="default" r:id="rId9"/>
      <w:headerReference w:type="default" r:id="rId10"/>
      <w:pgSz w:w="12240" w:h="15840"/>
      <w:pgMar w:top="1134" w:right="1247" w:bottom="1020" w:left="1247"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Noto Sans CJK KR" w:hAnsi="Noto Sans CJK KR" w:eastAsia="Noto Sans CJK KR"/>
        <w:b w:val="0"/>
        <w:color w:val="6E6E6E"/>
        <w:sz w:val="18"/>
      </w:rP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Noto Sans CJK KR" w:hAnsi="Noto Sans CJK KR" w:eastAsia="Noto Sans CJK KR"/>
        <w:b w:val="0"/>
        <w:color w:val="8C8C8C"/>
        <w:sz w:val="16"/>
      </w:rPr>
      <w:t>경영학개론 | 사회적 책임과 사회적 가치</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keepLines w:val="0"/>
      <w:widowControl/>
      <w:spacing w:line="372" w:lineRule="auto" w:after="120"/>
    </w:pPr>
    <w:rPr>
      <w:rFonts w:ascii="Noto Sans CJK KR" w:hAnsi="Noto Sans CJK KR" w:eastAsia="Noto Sans CJK KR"/>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Noto Sans CJK KR" w:hAnsi="Noto Sans CJK KR" w:eastAsia="Noto Sans CJK KR"/>
      <w:b/>
      <w:bCs/>
      <w:color w:val="1F4E79"/>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Noto Sans CJK KR" w:hAnsi="Noto Sans CJK KR" w:eastAsia="Noto Sans CJK KR"/>
      <w:b/>
      <w:bCs/>
      <w:color w:val="282828"/>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Noto Sans CJK KR" w:hAnsi="Noto Sans CJK KR" w:eastAsia="Noto Sans CJK KR"/>
      <w:b/>
      <w:color w:val="1F4E79"/>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mallNote">
    <w:name w:val="SmallNote"/>
    <w:pPr>
      <w:spacing w:line="324" w:lineRule="auto"/>
    </w:pPr>
    <w:rPr>
      <w:rFonts w:ascii="Noto Sans CJK KR" w:hAnsi="Noto Sans CJK KR" w:eastAsia="Noto Sans CJK KR"/>
      <w:color w:val="5A5A5A"/>
      <w:sz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경영학개론 - 기업의 사회적 책임 활동과 사회적 가치 창출 사례 분석</dc:title>
  <dc:subject>학점은행제 과제 참고용 샘플</dc:subject>
  <dc:creator/>
  <cp:keywords>경영학개론, 기업의 사회적 책임, CSR, 사회적 가치, 사례 분석</cp:keywords>
  <dc:description>generated by python-docx</dc:description>
  <cp:lastModifiedBy/>
  <cp:revision>1</cp:revision>
  <dcterms:created xsi:type="dcterms:W3CDTF">2013-12-23T23:15:00Z</dcterms:created>
  <dcterms:modified xsi:type="dcterms:W3CDTF">2013-12-23T23:15:00Z</dcterms:modified>
  <cp:category/>
</cp:coreProperties>
</file>