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760"/>
        <w:jc w:val="center"/>
      </w:pPr>
      <w:r>
        <w:rPr>
          <w:rFonts w:ascii="Noto Serif CJK KR" w:hAnsi="Noto Serif CJK KR" w:eastAsia="Noto Serif CJK KR"/>
          <w:b/>
          <w:sz w:val="42"/>
        </w:rPr>
        <w:t>사회복지조사론</w:t>
      </w:r>
    </w:p>
    <w:p>
      <w:pPr>
        <w:spacing w:before="480" w:after="280"/>
        <w:jc w:val="center"/>
      </w:pPr>
      <w:r>
        <w:rPr>
          <w:rFonts w:ascii="Noto Serif CJK KR" w:hAnsi="Noto Serif CJK KR" w:eastAsia="Noto Serif CJK KR"/>
          <w:b/>
          <w:sz w:val="33"/>
        </w:rPr>
        <w:t>신뢰도와 타당도의 개념과 관계를 설명하고,</w:t>
        <w:br/>
        <w:t>조사연구에서 신뢰도와 타당도가 확보되지 않을 때</w:t>
        <w:br/>
        <w:t>사회복지현장에 미치는 영향을 논하시오.</w:t>
      </w:r>
    </w:p>
    <w:tbl>
      <w:tblPr>
        <w:tblW w:type="auto" w:w="0"/>
        <w:jc w:val="center"/>
        <w:tblLayout w:type="fixed"/>
        <w:tblLook w:firstColumn="1" w:firstRow="1" w:lastColumn="0" w:lastRow="0" w:noHBand="0" w:noVBand="1" w:val="04A0"/>
      </w:tblPr>
      <w:tblGrid>
        <w:gridCol w:w="4873"/>
        <w:gridCol w:w="4873"/>
      </w:tblGrid>
      <w:tr>
        <w:tc>
          <w:tcPr>
            <w:tcW w:type="dxa" w:w="4873"/>
            <w:vAlign w:val="center"/>
            <w:tcBorders>
              <w:top w:val="nil"/>
              <w:left w:val="nil"/>
              <w:bottom w:val="nil"/>
              <w:right w:val="nil"/>
              <w:insideH w:val="nil"/>
              <w:insideV w:val="nil"/>
            </w:tcBorders>
          </w:tcPr>
          <w:p>
            <w:pPr>
              <w:jc w:val="right"/>
            </w:pPr>
            <w:r>
              <w:rPr>
                <w:rFonts w:ascii="Noto Serif CJK KR" w:hAnsi="Noto Serif CJK KR" w:eastAsia="Noto Serif CJK KR"/>
                <w:b/>
                <w:sz w:val="20"/>
              </w:rPr>
              <w:t>제출자</w:t>
            </w:r>
          </w:p>
        </w:tc>
        <w:tc>
          <w:tcPr>
            <w:tcW w:type="dxa" w:w="4873"/>
            <w:vAlign w:val="center"/>
            <w:tcBorders>
              <w:top w:val="nil"/>
              <w:left w:val="nil"/>
              <w:bottom w:val="nil"/>
              <w:right w:val="nil"/>
              <w:insideH w:val="nil"/>
              <w:insideV w:val="nil"/>
            </w:tcBorders>
          </w:tcPr>
          <w:p>
            <w:r>
              <w:rPr>
                <w:rFonts w:ascii="Noto Serif CJK KR" w:hAnsi="Noto Serif CJK KR" w:eastAsia="Noto Serif CJK KR"/>
                <w:b w:val="0"/>
                <w:sz w:val="20"/>
              </w:rPr>
              <w:t>____________________________</w:t>
            </w:r>
          </w:p>
        </w:tc>
      </w:tr>
      <w:tr>
        <w:tc>
          <w:tcPr>
            <w:tcW w:type="dxa" w:w="4873"/>
            <w:vAlign w:val="center"/>
            <w:tcBorders>
              <w:top w:val="nil"/>
              <w:left w:val="nil"/>
              <w:bottom w:val="nil"/>
              <w:right w:val="nil"/>
              <w:insideH w:val="nil"/>
              <w:insideV w:val="nil"/>
            </w:tcBorders>
          </w:tcPr>
          <w:p>
            <w:pPr>
              <w:jc w:val="right"/>
            </w:pPr>
            <w:r>
              <w:rPr>
                <w:rFonts w:ascii="Noto Serif CJK KR" w:hAnsi="Noto Serif CJK KR" w:eastAsia="Noto Serif CJK KR"/>
                <w:b/>
                <w:sz w:val="20"/>
              </w:rPr>
              <w:t>제출일</w:t>
            </w:r>
          </w:p>
        </w:tc>
        <w:tc>
          <w:tcPr>
            <w:tcW w:type="dxa" w:w="4873"/>
            <w:vAlign w:val="center"/>
            <w:tcBorders>
              <w:top w:val="nil"/>
              <w:left w:val="nil"/>
              <w:bottom w:val="nil"/>
              <w:right w:val="nil"/>
              <w:insideH w:val="nil"/>
              <w:insideV w:val="nil"/>
            </w:tcBorders>
          </w:tcPr>
          <w:p>
            <w:r>
              <w:rPr>
                <w:rFonts w:ascii="Noto Serif CJK KR" w:hAnsi="Noto Serif CJK KR" w:eastAsia="Noto Serif CJK KR"/>
                <w:b w:val="0"/>
                <w:sz w:val="20"/>
              </w:rPr>
              <w:t>____________________________</w:t>
            </w:r>
          </w:p>
        </w:tc>
      </w:tr>
    </w:tbl>
    <w:p>
      <w:pPr>
        <w:spacing w:before="440" w:after="140"/>
        <w:jc w:val="center"/>
      </w:pPr>
      <w:r>
        <w:rPr>
          <w:rFonts w:ascii="Noto Serif CJK KR" w:hAnsi="Noto Serif CJK KR" w:eastAsia="Noto Serif CJK KR"/>
          <w:b/>
          <w:sz w:val="26"/>
        </w:rPr>
        <w:t>목 차</w:t>
      </w:r>
    </w:p>
    <w:p>
      <w:pPr>
        <w:spacing w:after="60" w:before="40"/>
        <w:ind w:left="1474"/>
      </w:pPr>
      <w:r>
        <w:rPr>
          <w:rFonts w:ascii="Noto Serif CJK KR" w:hAnsi="Noto Serif CJK KR" w:eastAsia="Noto Serif CJK KR"/>
          <w:b w:val="0"/>
          <w:sz w:val="20"/>
        </w:rPr>
        <w:t>Ⅰ. 서론</w:t>
      </w:r>
    </w:p>
    <w:p>
      <w:pPr>
        <w:spacing w:after="60" w:before="40"/>
        <w:ind w:left="1474"/>
      </w:pPr>
      <w:r>
        <w:rPr>
          <w:rFonts w:ascii="Noto Serif CJK KR" w:hAnsi="Noto Serif CJK KR" w:eastAsia="Noto Serif CJK KR"/>
          <w:b w:val="0"/>
          <w:sz w:val="20"/>
        </w:rPr>
        <w:t>Ⅱ. 본론</w:t>
      </w:r>
    </w:p>
    <w:p>
      <w:pPr>
        <w:spacing w:after="20" w:before="60"/>
        <w:ind w:left="1474"/>
      </w:pPr>
      <w:r>
        <w:rPr>
          <w:rFonts w:ascii="Noto Serif CJK KR" w:hAnsi="Noto Serif CJK KR" w:eastAsia="Noto Serif CJK KR"/>
          <w:b w:val="0"/>
          <w:sz w:val="20"/>
        </w:rPr>
        <w:t xml:space="preserve">   1. 신뢰도의 개념과 유형</w:t>
      </w:r>
    </w:p>
    <w:p>
      <w:pPr>
        <w:spacing w:after="20" w:before="60"/>
        <w:ind w:left="1474"/>
      </w:pPr>
      <w:r>
        <w:rPr>
          <w:rFonts w:ascii="Noto Serif CJK KR" w:hAnsi="Noto Serif CJK KR" w:eastAsia="Noto Serif CJK KR"/>
          <w:b w:val="0"/>
          <w:sz w:val="20"/>
        </w:rPr>
        <w:t xml:space="preserve">   2. 타당도의 개념과 유형</w:t>
      </w:r>
    </w:p>
    <w:p>
      <w:pPr>
        <w:spacing w:after="20" w:before="60"/>
        <w:ind w:left="1474"/>
      </w:pPr>
      <w:r>
        <w:rPr>
          <w:rFonts w:ascii="Noto Serif CJK KR" w:hAnsi="Noto Serif CJK KR" w:eastAsia="Noto Serif CJK KR"/>
          <w:b w:val="0"/>
          <w:sz w:val="20"/>
        </w:rPr>
        <w:t xml:space="preserve">   3. 신뢰도와 타당도의 관계</w:t>
      </w:r>
    </w:p>
    <w:p>
      <w:pPr>
        <w:spacing w:after="20" w:before="60"/>
        <w:ind w:left="1474"/>
      </w:pPr>
      <w:r>
        <w:rPr>
          <w:rFonts w:ascii="Noto Serif CJK KR" w:hAnsi="Noto Serif CJK KR" w:eastAsia="Noto Serif CJK KR"/>
          <w:b w:val="0"/>
          <w:sz w:val="20"/>
        </w:rPr>
        <w:t xml:space="preserve">   4. 신뢰도와 타당도가 확보되지 않을 때의 문제</w:t>
      </w:r>
    </w:p>
    <w:p>
      <w:pPr>
        <w:spacing w:after="20" w:before="60"/>
        <w:ind w:left="1474"/>
      </w:pPr>
      <w:r>
        <w:rPr>
          <w:rFonts w:ascii="Noto Serif CJK KR" w:hAnsi="Noto Serif CJK KR" w:eastAsia="Noto Serif CJK KR"/>
          <w:b w:val="0"/>
          <w:sz w:val="20"/>
        </w:rPr>
        <w:t xml:space="preserve">   5. 사회복지현장에 미치는 영향과 개선방안</w:t>
      </w:r>
    </w:p>
    <w:p>
      <w:pPr>
        <w:spacing w:after="60" w:before="40"/>
        <w:ind w:left="1474"/>
      </w:pPr>
      <w:r>
        <w:rPr>
          <w:rFonts w:ascii="Noto Serif CJK KR" w:hAnsi="Noto Serif CJK KR" w:eastAsia="Noto Serif CJK KR"/>
          <w:b w:val="0"/>
          <w:sz w:val="20"/>
        </w:rPr>
        <w:t>Ⅲ. 결론</w:t>
      </w:r>
    </w:p>
    <w:p>
      <w:pPr>
        <w:spacing w:after="60" w:before="40"/>
        <w:ind w:left="1474"/>
      </w:pPr>
      <w:r>
        <w:rPr>
          <w:rFonts w:ascii="Noto Serif CJK KR" w:hAnsi="Noto Serif CJK KR" w:eastAsia="Noto Serif CJK KR"/>
          <w:b w:val="0"/>
          <w:sz w:val="20"/>
        </w:rPr>
        <w:t>Ⅳ. 참고문헌</w:t>
      </w:r>
    </w:p>
    <w:p>
      <w:r>
        <w:br w:type="page"/>
      </w:r>
    </w:p>
    <w:p>
      <w:pPr>
        <w:keepNext/>
        <w:spacing w:before="40" w:after="60"/>
      </w:pPr>
      <w:r>
        <w:rPr>
          <w:rFonts w:ascii="Noto Serif CJK KR" w:hAnsi="Noto Serif CJK KR" w:eastAsia="Noto Serif CJK KR"/>
          <w:b/>
          <w:sz w:val="28"/>
        </w:rPr>
        <w:t>Ⅰ. 서론</w:t>
      </w:r>
    </w:p>
    <w:p>
      <w:pPr>
        <w:spacing w:line="348" w:lineRule="auto" w:after="20"/>
        <w:ind w:firstLine="397"/>
        <w:jc w:val="both"/>
      </w:pPr>
      <w:r>
        <w:rPr>
          <w:rFonts w:ascii="Noto Serif CJK KR" w:hAnsi="Noto Serif CJK KR" w:eastAsia="Noto Serif CJK KR"/>
          <w:b w:val="0"/>
          <w:sz w:val="20"/>
        </w:rPr>
        <w:t>사회복지조사는 개인과 가족, 집단, 지역사회의 욕구를 파악하고 서비스의 효과를 검증하며 사회복지정책의 방향을 설정하기 위한 중요한 근거를 제공한다. 현장에서 이루어지는 욕구조사, 프로그램 만족도 조사, 사례관리 평가, 지역사회 실태조사 등은 대부분 일정한 측정도구와 자료수집 과정을 거쳐 결과를 도출한다. 따라서 조사에서 사용한 도구가 얼마나 일관되게 측정하는지, 그리고 실제로 측정하고자 하는 개념을 얼마나 정확하게 측정하는지를 확인하는 과정이 매우 중요하다.</w:t>
      </w:r>
    </w:p>
    <w:p>
      <w:pPr>
        <w:spacing w:line="348" w:lineRule="auto" w:after="20"/>
        <w:ind w:firstLine="397"/>
        <w:jc w:val="both"/>
      </w:pPr>
      <w:r>
        <w:rPr>
          <w:rFonts w:ascii="Noto Serif CJK KR" w:hAnsi="Noto Serif CJK KR" w:eastAsia="Noto Serif CJK KR"/>
          <w:b w:val="0"/>
          <w:sz w:val="20"/>
        </w:rPr>
        <w:t>이때 핵심적으로 검토되는 개념이 신뢰도와 타당도이다. 신뢰도가 낮으면 같은 대상을 반복 측정했을 때 결과가 크게 달라져 조사결과를 믿기 어렵고, 타당도가 낮으면 측정값이 일관되더라도 애초에 측정하려던 개념과 다른 내용을 측정할 수 있다. 이러한 오류는 단순한 연구상의 문제가 아니라 서비스 대상자 선정, 자원배분, 프로그램 평가, 정책결정에까지 영향을 미칠 수 있다. 본 과제에서는 신뢰도와 타당도의 개념 및 유형을 살펴보고, 두 개념의 관계와 확보되지 않았을 때 나타나는 문제를 사회복지현장과 연결하여 논의하고자 한다.</w:t>
      </w:r>
    </w:p>
    <w:p>
      <w:pPr>
        <w:keepNext/>
        <w:spacing w:before="40" w:after="60"/>
      </w:pPr>
      <w:r>
        <w:rPr>
          <w:rFonts w:ascii="Noto Serif CJK KR" w:hAnsi="Noto Serif CJK KR" w:eastAsia="Noto Serif CJK KR"/>
          <w:b/>
          <w:sz w:val="28"/>
        </w:rPr>
        <w:t>Ⅱ. 본론</w:t>
      </w:r>
    </w:p>
    <w:p>
      <w:pPr>
        <w:keepNext/>
        <w:spacing w:before="60" w:after="20"/>
      </w:pPr>
      <w:r>
        <w:rPr>
          <w:rFonts w:ascii="Noto Serif CJK KR" w:hAnsi="Noto Serif CJK KR" w:eastAsia="Noto Serif CJK KR"/>
          <w:b/>
          <w:sz w:val="22"/>
        </w:rPr>
        <w:t>1. 신뢰도의 개념과 유형</w:t>
      </w:r>
    </w:p>
    <w:p>
      <w:pPr>
        <w:spacing w:line="348" w:lineRule="auto" w:after="20"/>
        <w:ind w:firstLine="397"/>
        <w:jc w:val="both"/>
      </w:pPr>
      <w:r>
        <w:rPr>
          <w:rFonts w:ascii="Noto Serif CJK KR" w:hAnsi="Noto Serif CJK KR" w:eastAsia="Noto Serif CJK KR"/>
          <w:b w:val="0"/>
          <w:sz w:val="20"/>
        </w:rPr>
        <w:t>신뢰도(reliability)는 동일한 현상을 같은 방법으로 반복하여 측정했을 때 얼마나 일관되고 안정적인 결과가 나타나는지를 의미한다. 측정도구가 신뢰롭다는 것은 우연한 오차의 영향을 적게 받고 비슷한 조건에서 유사한 결과를 산출한다는 뜻이다. 예를 들어 우울감 척도를 동일한 대상에게 짧은 간격을 두고 반복 적용했을 때 특별한 상태 변화가 없는데도 점수가 크게 달라진다면 그 도구의 신뢰도를 의심할 수 있다.</w:t>
      </w:r>
    </w:p>
    <w:p>
      <w:pPr>
        <w:spacing w:line="348" w:lineRule="auto" w:after="20"/>
        <w:ind w:firstLine="397"/>
        <w:jc w:val="both"/>
      </w:pPr>
      <w:r>
        <w:rPr>
          <w:rFonts w:ascii="Noto Serif CJK KR" w:hAnsi="Noto Serif CJK KR" w:eastAsia="Noto Serif CJK KR"/>
          <w:b w:val="0"/>
          <w:sz w:val="20"/>
        </w:rPr>
        <w:t>대표적인 신뢰도 검증방법으로는 검사-재검사 신뢰도, 동형검사 신뢰도, 반분 신뢰도, 내적 일관성 신뢰도가 있다. 검사-재검사 신뢰도는 같은 도구를 일정한 간격을 두고 반복 적용하여 결과의 안정성을 확인하는 방법이다. 동형검사 신뢰도는 내용과 난이도가 유사한 두 개의 측정도구를 사용하여 결과의 일치 정도를 확인한다. 반분 신뢰도는 하나의 척도를 두 부분으로 나누어 두 부분의 결과가 일관되는지를 검토하며, 내적 일관성은 여러 문항이 동일한 개념을 일관되게 측정하고 있는지를 확인한다. 실무에서는 Cronbach의 α 계수가 내적 일관성 검토에 널리 사용된다.</w:t>
      </w:r>
    </w:p>
    <w:p>
      <w:pPr>
        <w:keepNext/>
        <w:spacing w:before="60" w:after="20"/>
      </w:pPr>
      <w:r>
        <w:rPr>
          <w:rFonts w:ascii="Noto Serif CJK KR" w:hAnsi="Noto Serif CJK KR" w:eastAsia="Noto Serif CJK KR"/>
          <w:b/>
          <w:sz w:val="22"/>
        </w:rPr>
        <w:t>2. 타당도의 개념과 유형</w:t>
      </w:r>
    </w:p>
    <w:p>
      <w:pPr>
        <w:spacing w:line="348" w:lineRule="auto" w:after="20"/>
        <w:ind w:firstLine="397"/>
        <w:jc w:val="both"/>
      </w:pPr>
      <w:r>
        <w:rPr>
          <w:rFonts w:ascii="Noto Serif CJK KR" w:hAnsi="Noto Serif CJK KR" w:eastAsia="Noto Serif CJK KR"/>
          <w:b w:val="0"/>
          <w:sz w:val="20"/>
        </w:rPr>
        <w:t>타당도(validity)는 측정도구가 측정하고자 하는 개념을 실제로 얼마나 정확하게 측정하고 있는지를 의미한다. 예를 들어 경제적 어려움을 파악하기 위한 조사에서 단순히 소득 수준만을 묻고 부채, 주거비, 부양가족 수와 같은 요소를 전혀 고려하지 않는다면 경제적 어려움이라는 개념을 충분히 측정했다고 보기 어렵다. 즉 측정결과가 안정적으로 반복되더라도 조사목적과 다른 내용을 측정하고 있다면 타당한 측정이라고 할 수 없다.</w:t>
      </w:r>
    </w:p>
    <w:p>
      <w:pPr>
        <w:keepNext/>
        <w:spacing w:before="60" w:after="20"/>
      </w:pPr>
      <w:r>
        <w:rPr>
          <w:rFonts w:ascii="Noto Serif CJK KR" w:hAnsi="Noto Serif CJK KR" w:eastAsia="Noto Serif CJK KR"/>
          <w:b/>
          <w:sz w:val="22"/>
        </w:rPr>
        <w:t>가. 내용타당도</w:t>
      </w:r>
    </w:p>
    <w:p>
      <w:pPr>
        <w:spacing w:line="348" w:lineRule="auto" w:after="20"/>
        <w:ind w:firstLine="397"/>
        <w:jc w:val="both"/>
      </w:pPr>
      <w:r>
        <w:rPr>
          <w:rFonts w:ascii="Noto Serif CJK KR" w:hAnsi="Noto Serif CJK KR" w:eastAsia="Noto Serif CJK KR"/>
          <w:b w:val="0"/>
          <w:sz w:val="20"/>
        </w:rPr>
        <w:t>내용타당도는 측정하려는 개념의 주요 영역이 문항에 충분히 포함되어 있는지를 평가하는 것이다. 예를 들어 노인의 삶의 질을 측정하면서 신체건강만을 질문하고 심리상태, 사회적 관계, 주거환경, 경제적 안정성을 제외했다면 측정내용이 개념 전체를 대표한다고 보기 어렵다. 내용타당도는 관련 이론과 선행연구를 검토하고 전문가의 판단을 활용하여 확보하는 경우가 많다.</w:t>
      </w:r>
    </w:p>
    <w:p>
      <w:pPr>
        <w:keepNext/>
        <w:spacing w:before="60" w:after="20"/>
      </w:pPr>
      <w:r>
        <w:rPr>
          <w:rFonts w:ascii="Noto Serif CJK KR" w:hAnsi="Noto Serif CJK KR" w:eastAsia="Noto Serif CJK KR"/>
          <w:b/>
          <w:sz w:val="22"/>
        </w:rPr>
        <w:t>나. 기준타당도</w:t>
      </w:r>
    </w:p>
    <w:p>
      <w:pPr>
        <w:spacing w:line="348" w:lineRule="auto" w:after="20"/>
        <w:ind w:firstLine="397"/>
        <w:jc w:val="both"/>
      </w:pPr>
      <w:r>
        <w:rPr>
          <w:rFonts w:ascii="Noto Serif CJK KR" w:hAnsi="Noto Serif CJK KR" w:eastAsia="Noto Serif CJK KR"/>
          <w:b w:val="0"/>
          <w:sz w:val="20"/>
        </w:rPr>
        <w:t>기준타당도는 측정도구의 결과가 이미 신뢰할 수 있는 외부 기준과 얼마나 관련되는지를 확인하는 방법이다. 현재 시점의 기준과 비교하는 동시타당도와 미래의 행동이나 결과를 얼마나 잘 예측하는지를 살펴보는 예측타당도로 구분할 수 있다. 예를 들어 새롭게 개발한 위험평가척도가 기존에 검증된 위험평가도구의 결과와 높은 관련성을 보이는지 확인하는 방식이 이에 해당한다.</w:t>
      </w:r>
    </w:p>
    <w:p>
      <w:pPr>
        <w:keepNext/>
        <w:spacing w:before="60" w:after="20"/>
      </w:pPr>
      <w:r>
        <w:rPr>
          <w:rFonts w:ascii="Noto Serif CJK KR" w:hAnsi="Noto Serif CJK KR" w:eastAsia="Noto Serif CJK KR"/>
          <w:b/>
          <w:sz w:val="22"/>
        </w:rPr>
        <w:t>다. 구성타당도</w:t>
      </w:r>
    </w:p>
    <w:p>
      <w:pPr>
        <w:spacing w:line="348" w:lineRule="auto" w:after="20"/>
        <w:ind w:firstLine="397"/>
        <w:jc w:val="both"/>
      </w:pPr>
      <w:r>
        <w:rPr>
          <w:rFonts w:ascii="Noto Serif CJK KR" w:hAnsi="Noto Serif CJK KR" w:eastAsia="Noto Serif CJK KR"/>
          <w:b w:val="0"/>
          <w:sz w:val="20"/>
        </w:rPr>
        <w:t>구성타당도는 우울, 자아존중감, 사회적 지지처럼 직접 관찰하기 어려운 추상적 개념을 측정도구가 이론적으로 적절하게 측정하는지를 확인하는 것이다. 구성타당도는 관련된 변수와 예상한 방향의 상관관계가 나타나는지, 서로 다른 개념과는 구분되는지 등을 통해 검토할 수 있다. 사회복지조사에서는 심리·사회적 개념을 자주 측정하기 때문에 구성타당도의 중요성이 특히 크다.</w:t>
      </w:r>
    </w:p>
    <w:p>
      <w:pPr>
        <w:keepNext/>
        <w:spacing w:before="60" w:after="20"/>
      </w:pPr>
      <w:r>
        <w:rPr>
          <w:rFonts w:ascii="Noto Serif CJK KR" w:hAnsi="Noto Serif CJK KR" w:eastAsia="Noto Serif CJK KR"/>
          <w:b/>
          <w:sz w:val="22"/>
        </w:rPr>
        <w:t>3. 신뢰도와 타당도의 관계</w:t>
      </w:r>
    </w:p>
    <w:p>
      <w:pPr>
        <w:spacing w:line="348" w:lineRule="auto" w:after="20"/>
        <w:ind w:firstLine="397"/>
        <w:jc w:val="both"/>
      </w:pPr>
      <w:r>
        <w:rPr>
          <w:rFonts w:ascii="Noto Serif CJK KR" w:hAnsi="Noto Serif CJK KR" w:eastAsia="Noto Serif CJK KR"/>
          <w:b w:val="0"/>
          <w:sz w:val="20"/>
        </w:rPr>
        <w:t>신뢰도와 타당도는 서로 밀접하게 관련되어 있지만 동일한 개념은 아니다. 일반적으로 신뢰도는 타당도를 확보하기 위한 필요조건으로 볼 수 있다. 측정값이 매번 크게 달라지는 도구라면 실제 개념을 정확하게 측정한다고 보기 어렵기 때문이다. 그러나 신뢰도가 높다고 해서 반드시 타당도가 높은 것은 아니다. 예를 들어 체중계가 실제 체중보다 항상 3kg 높게 표시한다면 반복 측정값은 일관되어 신뢰도는 높을 수 있지만 실제 체중을 정확하게 반영하지 못하므로 타당도는 낮다.</w:t>
      </w:r>
    </w:p>
    <w:p>
      <w:pPr>
        <w:spacing w:line="348" w:lineRule="auto" w:after="20"/>
        <w:ind w:firstLine="397"/>
        <w:jc w:val="both"/>
      </w:pPr>
      <w:r>
        <w:rPr>
          <w:rFonts w:ascii="Noto Serif CJK KR" w:hAnsi="Noto Serif CJK KR" w:eastAsia="Noto Serif CJK KR"/>
          <w:b w:val="0"/>
          <w:sz w:val="20"/>
        </w:rPr>
        <w:t>따라서 좋은 측정도구는 일관성뿐 아니라 정확성도 함께 갖추어야 한다. 신뢰도만 확인하고 조사결과를 해석하면 잘못된 개념을 매우 일관되게 측정하는 오류가 발생할 수 있으며, 타당성을 주장하더라도 측정값이 안정적이지 않다면 연구결과의 재현성과 활용 가능성이 떨어진다. 사회복지조사에서는 도구 선정 단계에서 선행연구의 신뢰도와 타당도 검증결과를 확인하고, 조사대상의 특성에 맞게 다시 검토할 필요가 있다.</w:t>
      </w:r>
    </w:p>
    <w:p>
      <w:pPr>
        <w:keepNext/>
        <w:spacing w:before="60" w:after="20"/>
      </w:pPr>
      <w:r>
        <w:rPr>
          <w:rFonts w:ascii="Noto Serif CJK KR" w:hAnsi="Noto Serif CJK KR" w:eastAsia="Noto Serif CJK KR"/>
          <w:b/>
          <w:sz w:val="22"/>
        </w:rPr>
        <w:t>4. 신뢰도와 타당도가 확보되지 않을 때의 문제</w:t>
      </w:r>
    </w:p>
    <w:p>
      <w:pPr>
        <w:spacing w:line="348" w:lineRule="auto" w:after="20"/>
        <w:ind w:firstLine="397"/>
        <w:jc w:val="both"/>
      </w:pPr>
      <w:r>
        <w:rPr>
          <w:rFonts w:ascii="Noto Serif CJK KR" w:hAnsi="Noto Serif CJK KR" w:eastAsia="Noto Serif CJK KR"/>
          <w:b w:val="0"/>
          <w:sz w:val="20"/>
        </w:rPr>
        <w:t>첫째, 조사결과의 해석 자체가 불안정해진다. 신뢰도가 낮으면 같은 대상과 유사한 상황에서도 결과가 달라질 수 있어 변화가 실제 현상의 변화인지 측정오차인지 구분하기 어렵다. 프로그램 참여 전후의 점수 차이가 실제 효과가 아니라 측정도구의 불안정성 때문에 나타났다면 프로그램 효과를 과대평가하거나 과소평가할 수 있다.</w:t>
      </w:r>
    </w:p>
    <w:p>
      <w:pPr>
        <w:spacing w:line="348" w:lineRule="auto" w:after="20"/>
        <w:ind w:firstLine="397"/>
        <w:jc w:val="both"/>
      </w:pPr>
      <w:r>
        <w:rPr>
          <w:rFonts w:ascii="Noto Serif CJK KR" w:hAnsi="Noto Serif CJK KR" w:eastAsia="Noto Serif CJK KR"/>
          <w:b w:val="0"/>
          <w:sz w:val="20"/>
        </w:rPr>
        <w:t>둘째, 타당도가 낮으면 조사목적과 다른 현상을 근거로 의사결정을 내릴 위험이 있다. 예를 들어 아동의 돌봄위험을 파악하는 척도가 실제로는 부모의 경제상태만 과도하게 반영한다면, 정서적 방임이나 돌봄공백이 심각한 가구가 낮은 위험군으로 분류될 수 있다. 반대로 실제 위험이 높지 않은 가구가 높은 위험군으로 분류되어 제한된 서비스가 비효율적으로 배분될 수도 있다.</w:t>
      </w:r>
    </w:p>
    <w:p>
      <w:pPr>
        <w:keepNext/>
        <w:spacing w:before="60" w:after="20"/>
      </w:pPr>
      <w:r>
        <w:rPr>
          <w:rFonts w:ascii="Noto Serif CJK KR" w:hAnsi="Noto Serif CJK KR" w:eastAsia="Noto Serif CJK KR"/>
          <w:b/>
          <w:sz w:val="22"/>
        </w:rPr>
        <w:t>5. 사회복지현장에 미치는 영향과 개선방안</w:t>
      </w:r>
    </w:p>
    <w:p>
      <w:pPr>
        <w:spacing w:line="348" w:lineRule="auto" w:after="20"/>
        <w:ind w:firstLine="397"/>
        <w:jc w:val="both"/>
      </w:pPr>
      <w:r>
        <w:rPr>
          <w:rFonts w:ascii="Noto Serif CJK KR" w:hAnsi="Noto Serif CJK KR" w:eastAsia="Noto Serif CJK KR"/>
          <w:b w:val="0"/>
          <w:sz w:val="20"/>
        </w:rPr>
        <w:t>사회복지현장에서 신뢰도와 타당도가 낮은 조사결과를 활용하면 가장 먼저 클라이언트에게 직접적인 불이익이 발생할 수 있다. 사회복지기관은 욕구점수, 위험도, 기능수준, 소득 및 생활상태 등을 기준으로 서비스를 우선 배정하는 경우가 많다. 측정오류로 인해 실제 욕구가 큰 사람이 지원대상에서 제외되거나 반대로 상대적으로 욕구가 낮은 사람이 우선 선정된다면 공정성과 서비스 효과성이 모두 훼손된다.</w:t>
      </w:r>
    </w:p>
    <w:p>
      <w:pPr>
        <w:spacing w:line="348" w:lineRule="auto" w:after="20"/>
        <w:ind w:firstLine="397"/>
        <w:jc w:val="both"/>
      </w:pPr>
      <w:r>
        <w:rPr>
          <w:rFonts w:ascii="Noto Serif CJK KR" w:hAnsi="Noto Serif CJK KR" w:eastAsia="Noto Serif CJK KR"/>
          <w:b w:val="0"/>
          <w:sz w:val="20"/>
        </w:rPr>
        <w:t>또한 프로그램 평가가 왜곡될 가능성이 있다. 효과가 있는 사업을 효과가 없는 것으로 판단하여 중단하거나, 효과가 미미한 사업을 성공적인 사업으로 판단하여 예산을 계속 투입할 수 있다. 이는 기관의 자원낭비를 초래할 뿐 아니라 장기적으로 사회복지정책의 근거를 약화시킨다. 특히 여러 기관의 조사결과가 정책결정의 기초자료로 활용될 경우 측정도구의 질 문제는 개인 수준을 넘어 지역사회와 정책 수준의 오류로 확대될 수 있다.</w:t>
      </w:r>
    </w:p>
    <w:p>
      <w:pPr>
        <w:spacing w:line="348" w:lineRule="auto" w:after="20"/>
        <w:ind w:firstLine="397"/>
        <w:jc w:val="both"/>
      </w:pPr>
      <w:r>
        <w:rPr>
          <w:rFonts w:ascii="Noto Serif CJK KR" w:hAnsi="Noto Serif CJK KR" w:eastAsia="Noto Serif CJK KR"/>
          <w:b w:val="0"/>
          <w:sz w:val="20"/>
        </w:rPr>
        <w:t>따라서 사회복지조사에서는 검증된 척도를 우선 활용하고, 조사대상의 연령·문화·언어 수준에 맞는지 확인해야 한다. 새로운 문항이나 척도를 사용하는 경우에는 예비조사를 통해 문항의 이해도와 응답경향을 점검하고, 가능한 경우 내적 일관성, 검사-재검사 신뢰도, 내용타당도와 구성타당도 등을 검증해야 한다. 또한 조사원 교육과 표준화된 조사절차를 마련하여 조사자의 설명방식이나 기록방법 차이에서 발생하는 오차도 줄일 필요가 있다.</w:t>
      </w:r>
    </w:p>
    <w:p>
      <w:pPr>
        <w:spacing w:line="348" w:lineRule="auto" w:after="20"/>
        <w:ind w:firstLine="397"/>
        <w:jc w:val="both"/>
      </w:pPr>
      <w:r>
        <w:rPr>
          <w:rFonts w:ascii="Noto Serif CJK KR" w:hAnsi="Noto Serif CJK KR" w:eastAsia="Noto Serif CJK KR"/>
          <w:sz w:val="20"/>
        </w:rPr>
        <w:t>개인적으로는 사회복지현장에서 조사자료의 숫자 자체를 객관적 진실로 받아들이는 태도를 경계해야 한다고 생각한다. 측정점수는 클라이언트의 복잡한 삶을 일정한 기준으로 단순화한 결과이므로, 중요한 결정을 내릴 때에는 면접, 관찰, 사례기록 등 다양한 자료와 함께 해석해야 한다. 특히 서비스 제공 여부처럼 삶에 직접 영향을 주는 결정에서는 측정도구의 한계와 오류 가능성을 함께 고려할 필요가 있다.</w:t>
      </w:r>
    </w:p>
    <w:p>
      <w:pPr>
        <w:keepNext/>
        <w:spacing w:before="40" w:after="60"/>
      </w:pPr>
      <w:r>
        <w:rPr>
          <w:rFonts w:ascii="Noto Serif CJK KR" w:hAnsi="Noto Serif CJK KR" w:eastAsia="Noto Serif CJK KR"/>
          <w:b/>
          <w:sz w:val="28"/>
        </w:rPr>
        <w:t>Ⅲ. 결론</w:t>
      </w:r>
    </w:p>
    <w:p>
      <w:pPr>
        <w:spacing w:line="348" w:lineRule="auto" w:after="20"/>
        <w:ind w:firstLine="397"/>
        <w:jc w:val="both"/>
      </w:pPr>
      <w:r>
        <w:rPr>
          <w:rFonts w:ascii="Noto Serif CJK KR" w:hAnsi="Noto Serif CJK KR" w:eastAsia="Noto Serif CJK KR"/>
          <w:b w:val="0"/>
          <w:sz w:val="20"/>
        </w:rPr>
        <w:t>신뢰도는 측정결과의 일관성과 안정성을, 타당도는 측정하고자 하는 개념을 얼마나 정확하게 측정했는지를 의미한다. 두 개념은 상호 관련되어 있으며 신뢰도는 타당도를 위한 중요한 전제이지만, 신뢰도가 높다고 해서 자동으로 타당도가 확보되는 것은 아니다. 따라서 사회복지조사에서는 측정도구의 일관성과 정확성을 함께 검토해야 한다.</w:t>
      </w:r>
    </w:p>
    <w:p>
      <w:pPr>
        <w:spacing w:line="348" w:lineRule="auto" w:after="20"/>
        <w:ind w:firstLine="397"/>
        <w:jc w:val="both"/>
      </w:pPr>
      <w:r>
        <w:rPr>
          <w:rFonts w:ascii="Noto Serif CJK KR" w:hAnsi="Noto Serif CJK KR" w:eastAsia="Noto Serif CJK KR"/>
          <w:b w:val="0"/>
          <w:sz w:val="20"/>
        </w:rPr>
        <w:t>신뢰도와 타당도가 확보되지 않으면 조사결과의 해석이 불안정해지고 대상자 선정, 프로그램 평가, 자원배분 및 정책결정이 왜곡될 수 있다. 결국 조사방법의 문제는 연구보고서 안에만 머무는 것이 아니라 실제 서비스 이용자의 권리와 기관의 책임성에 영향을 미친다. 사회복지사는 검증된 도구의 활용, 예비조사, 표준화된 조사절차, 다양한 자료원의 교차검토 등을 통해 측정의 질을 높여야 하며, 조사결과를 활용할 때에도 점수의 한계를 인식하는 비판적 태도를 가져야 한다.</w:t>
      </w:r>
    </w:p>
    <w:p>
      <w:pPr>
        <w:keepNext/>
        <w:spacing w:before="40" w:after="60"/>
      </w:pPr>
      <w:r>
        <w:rPr>
          <w:rFonts w:ascii="Noto Serif CJK KR" w:hAnsi="Noto Serif CJK KR" w:eastAsia="Noto Serif CJK KR"/>
          <w:b/>
          <w:sz w:val="28"/>
        </w:rPr>
        <w:t>Ⅳ. 참고문헌</w:t>
      </w:r>
    </w:p>
    <w:p>
      <w:pPr>
        <w:spacing w:line="348" w:lineRule="auto" w:after="20"/>
        <w:ind w:left="340" w:hanging="340"/>
      </w:pPr>
      <w:r>
        <w:rPr>
          <w:rFonts w:ascii="Noto Serif CJK KR" w:hAnsi="Noto Serif CJK KR" w:eastAsia="Noto Serif CJK KR"/>
          <w:b w:val="0"/>
          <w:sz w:val="17"/>
        </w:rPr>
        <w:t>김영종. (2022). 사회복지조사방법론. 학지사.</w:t>
      </w:r>
    </w:p>
    <w:p>
      <w:pPr>
        <w:spacing w:line="348" w:lineRule="auto" w:after="20"/>
        <w:ind w:left="340" w:hanging="340"/>
      </w:pPr>
      <w:r>
        <w:rPr>
          <w:rFonts w:ascii="Noto Serif CJK KR" w:hAnsi="Noto Serif CJK KR" w:eastAsia="Noto Serif CJK KR"/>
          <w:b w:val="0"/>
          <w:sz w:val="17"/>
        </w:rPr>
        <w:t>Rubin, A., &amp; Babbie, E. R. (2017). Research Methods for Social Work (9th ed.). Cengage Learning.</w:t>
      </w:r>
    </w:p>
    <w:p>
      <w:pPr>
        <w:spacing w:line="348" w:lineRule="auto" w:after="20"/>
        <w:ind w:left="340" w:hanging="340"/>
      </w:pPr>
      <w:r>
        <w:rPr>
          <w:rFonts w:ascii="Noto Serif CJK KR" w:hAnsi="Noto Serif CJK KR" w:eastAsia="Noto Serif CJK KR"/>
          <w:b w:val="0"/>
          <w:sz w:val="17"/>
        </w:rPr>
        <w:t>DeVellis, R. F., &amp; Thorpe, C. T. (2021). Scale Development: Theory and Applications (5th ed.). SAGE Publications.</w:t>
      </w:r>
    </w:p>
    <w:p>
      <w:pPr>
        <w:spacing w:line="348" w:lineRule="auto" w:after="20"/>
        <w:ind w:left="340" w:hanging="340"/>
      </w:pPr>
      <w:r>
        <w:rPr>
          <w:rFonts w:ascii="Noto Serif CJK KR" w:hAnsi="Noto Serif CJK KR" w:eastAsia="Noto Serif CJK KR"/>
          <w:b w:val="0"/>
          <w:sz w:val="17"/>
        </w:rPr>
        <w:t>Nunnally, J. C., &amp; Bernstein, I. H. (1994). Psychometric Theory (3rd ed.). McGraw-Hill.</w:t>
      </w:r>
    </w:p>
    <w:p>
      <w:pPr>
        <w:pageBreakBefore/>
        <w:spacing w:before="960"/>
        <w:jc w:val="center"/>
      </w:pPr>
      <w:r>
        <w:rPr>
          <w:rFonts w:ascii="Noto Serif CJK KR" w:hAnsi="Noto Serif CJK KR" w:eastAsia="Noto Serif CJK KR"/>
          <w:b/>
          <w:sz w:val="36"/>
        </w:rPr>
        <w:t>과제 자료 이용 안내</w:t>
      </w:r>
    </w:p>
    <w:p>
      <w:pPr>
        <w:spacing w:before="520" w:after="160"/>
      </w:pPr>
      <w:r>
        <w:rPr>
          <w:rFonts w:ascii="Noto Serif CJK KR" w:hAnsi="Noto Serif CJK KR" w:eastAsia="Noto Serif CJK KR"/>
          <w:b/>
          <w:sz w:val="26"/>
        </w:rPr>
        <w:t>주의사항</w:t>
      </w:r>
    </w:p>
    <w:p>
      <w:pPr>
        <w:spacing w:line="360" w:lineRule="auto" w:after="480"/>
      </w:pPr>
      <w:r>
        <w:rPr>
          <w:rFonts w:ascii="Noto Serif CJK KR" w:hAnsi="Noto Serif CJK KR" w:eastAsia="Noto Serif CJK KR"/>
          <w:b w:val="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after="160"/>
      </w:pPr>
      <w:r>
        <w:rPr>
          <w:rFonts w:ascii="Noto Serif CJK KR" w:hAnsi="Noto Serif CJK KR" w:eastAsia="Noto Serif CJK KR"/>
          <w:b/>
          <w:sz w:val="26"/>
        </w:rPr>
        <w:t>과제 수정이 어려우신가요?</w:t>
      </w:r>
    </w:p>
    <w:p>
      <w:pPr>
        <w:spacing w:line="360" w:lineRule="auto" w:after="360"/>
      </w:pPr>
      <w:r>
        <w:rPr>
          <w:rFonts w:ascii="Noto Serif CJK KR" w:hAnsi="Noto Serif CJK KR" w:eastAsia="Noto Serif CJK KR"/>
          <w:b w:val="0"/>
          <w:sz w:val="22"/>
        </w:rPr>
        <w:t>국민원격교육관리센터에서 1:1 과제 수정 도움을 드립니다.</w:t>
        <w:br/>
        <w:t>아래 연락처로 문의해 주세요.</w:t>
      </w:r>
    </w:p>
    <w:p>
      <w:pPr>
        <w:spacing w:after="100"/>
        <w:ind w:left="283"/>
      </w:pPr>
      <w:r>
        <w:rPr>
          <w:rFonts w:ascii="Noto Serif CJK KR" w:hAnsi="Noto Serif CJK KR" w:eastAsia="Noto Serif CJK KR"/>
          <w:b/>
          <w:sz w:val="22"/>
        </w:rPr>
        <w:t>전화: 050-7878-7044</w:t>
      </w:r>
    </w:p>
    <w:p>
      <w:pPr>
        <w:spacing w:after="100"/>
        <w:ind w:left="283"/>
      </w:pPr>
      <w:r>
        <w:rPr>
          <w:rFonts w:ascii="Noto Serif CJK KR" w:hAnsi="Noto Serif CJK KR" w:eastAsia="Noto Serif CJK KR"/>
          <w:b/>
          <w:sz w:val="22"/>
        </w:rPr>
        <w:t>카카오톡: @국민원격교육관리센터</w:t>
      </w:r>
    </w:p>
    <w:p>
      <w:pPr>
        <w:spacing w:after="100"/>
        <w:ind w:left="283"/>
      </w:pPr>
      <w:r>
        <w:rPr>
          <w:rFonts w:ascii="Noto Serif CJK KR" w:hAnsi="Noto Serif CJK KR" w:eastAsia="Noto Serif CJK KR"/>
          <w:b w:val="0"/>
          <w:sz w:val="22"/>
        </w:rPr>
        <w:t>운영시간: 평일 10:00–19:00</w:t>
      </w:r>
    </w:p>
    <w:p>
      <w:pPr>
        <w:spacing w:after="100"/>
        <w:ind w:left="283"/>
      </w:pPr>
      <w:r>
        <w:rPr>
          <w:rFonts w:ascii="Noto Serif CJK KR" w:hAnsi="Noto Serif CJK KR" w:eastAsia="Noto Serif CJK KR"/>
          <w:b w:val="0"/>
          <w:sz w:val="22"/>
        </w:rPr>
        <w:t>웹사이트: korealms.co.kr</w:t>
      </w:r>
    </w:p>
    <w:sectPr w:rsidR="00FC693F" w:rsidRPr="0006063C" w:rsidSect="00034616">
      <w:footerReference w:type="default" r:id="rId9"/>
      <w:pgSz w:w="12240" w:h="15840"/>
      <w:pgMar w:top="1134" w:right="1247" w:bottom="1020" w:left="1247"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erif CJK KR" w:hAnsi="Noto Serif CJK KR" w:eastAsia="Noto Serif CJK KR"/>
        <w:b w:val="0"/>
        <w:sz w:val="16"/>
      </w:rPr>
      <w:t>사회복지조사론 과제 참고자료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사회복지조사론 - 신뢰도와 타당도</dc:title>
  <dc:subject>학점은행제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