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500"/>
        <w:jc w:val="center"/>
      </w:pPr>
      <w:r>
        <w:rPr>
          <w:rFonts w:ascii="맑은 고딕" w:hAnsi="맑은 고딕" w:eastAsia="맑은 고딕"/>
          <w:b/>
          <w:color w:val="1E4064"/>
          <w:sz w:val="50"/>
        </w:rPr>
        <w:t>학교사회복지론</w:t>
      </w:r>
    </w:p>
    <w:p>
      <w:pPr>
        <w:jc w:val="center"/>
      </w:pPr>
      <w:r>
        <w:rPr>
          <w:rFonts w:ascii="맑은 고딕" w:hAnsi="맑은 고딕" w:eastAsia="맑은 고딕"/>
          <w:b w:val="0"/>
          <w:color w:val="5A5A5A"/>
          <w:sz w:val="30"/>
        </w:rPr>
        <w:t>과제 보고서</w:t>
      </w:r>
    </w:p>
    <w:p>
      <w:pPr>
        <w:spacing w:before="320"/>
        <w:jc w:val="center"/>
      </w:pPr>
      <w:r>
        <w:rPr>
          <w:rFonts w:ascii="맑은 고딕" w:hAnsi="맑은 고딕" w:eastAsia="맑은 고딕"/>
          <w:b/>
          <w:color w:val="1E4064"/>
          <w:sz w:val="21"/>
        </w:rPr>
        <w:t>과제 주제</w:t>
      </w:r>
    </w:p>
    <w:p>
      <w:pPr>
        <w:spacing w:line="312" w:lineRule="auto"/>
        <w:ind w:left="504" w:right="504"/>
        <w:jc w:val="center"/>
      </w:pPr>
      <w:r>
        <w:rPr>
          <w:rFonts w:ascii="맑은 고딕" w:hAnsi="맑은 고딕" w:eastAsia="맑은 고딕"/>
          <w:b w:val="0"/>
          <w:color w:val="000000"/>
          <w:sz w:val="21"/>
        </w:rPr>
        <w:t>가족 중심 사례관리 또는 개입에서 가용할 수 있는 자원에 대해 작성해보시오.</w:t>
      </w:r>
    </w:p>
    <w:p>
      <w:pPr>
        <w:spacing w:before="260"/>
        <w:jc w:val="center"/>
      </w:pPr>
      <w:r>
        <w:rPr>
          <w:rFonts w:ascii="맑은 고딕" w:hAnsi="맑은 고딕" w:eastAsia="맑은 고딕"/>
          <w:b/>
          <w:color w:val="1E4064"/>
          <w:sz w:val="28"/>
        </w:rPr>
        <w:t>목  차</w:t>
      </w:r>
    </w:p>
    <w:p>
      <w:pPr>
        <w:spacing w:after="40"/>
        <w:ind w:left="1584"/>
      </w:pPr>
      <w:r>
        <w:rPr>
          <w:rFonts w:ascii="맑은 고딕" w:hAnsi="맑은 고딕" w:eastAsia="맑은 고딕"/>
          <w:b w:val="0"/>
          <w:color w:val="000000"/>
          <w:sz w:val="19"/>
        </w:rPr>
        <w:t>Ⅰ. 서론</w:t>
      </w:r>
    </w:p>
    <w:p>
      <w:pPr>
        <w:spacing w:after="40"/>
        <w:ind w:left="1584"/>
      </w:pPr>
      <w:r>
        <w:rPr>
          <w:rFonts w:ascii="맑은 고딕" w:hAnsi="맑은 고딕" w:eastAsia="맑은 고딕"/>
          <w:b w:val="0"/>
          <w:color w:val="000000"/>
          <w:sz w:val="19"/>
        </w:rPr>
        <w:t>Ⅱ. 본론</w:t>
      </w:r>
    </w:p>
    <w:p>
      <w:pPr>
        <w:spacing w:after="40"/>
        <w:ind w:left="1584"/>
      </w:pPr>
      <w:r>
        <w:rPr>
          <w:rFonts w:ascii="맑은 고딕" w:hAnsi="맑은 고딕" w:eastAsia="맑은 고딕"/>
          <w:b w:val="0"/>
          <w:color w:val="000000"/>
          <w:sz w:val="19"/>
        </w:rPr>
        <w:t xml:space="preserve">  1. 가족 중심 사례관리의 의미와 원칙</w:t>
      </w:r>
    </w:p>
    <w:p>
      <w:pPr>
        <w:spacing w:after="40"/>
        <w:ind w:left="1584"/>
      </w:pPr>
      <w:r>
        <w:rPr>
          <w:rFonts w:ascii="맑은 고딕" w:hAnsi="맑은 고딕" w:eastAsia="맑은 고딕"/>
          <w:b w:val="0"/>
          <w:color w:val="000000"/>
          <w:sz w:val="19"/>
        </w:rPr>
        <w:t xml:space="preserve">  2. 가족 내부·비공식 자원</w:t>
      </w:r>
    </w:p>
    <w:p>
      <w:pPr>
        <w:spacing w:after="40"/>
        <w:ind w:left="1584"/>
      </w:pPr>
      <w:r>
        <w:rPr>
          <w:rFonts w:ascii="맑은 고딕" w:hAnsi="맑은 고딕" w:eastAsia="맑은 고딕"/>
          <w:b w:val="0"/>
          <w:color w:val="000000"/>
          <w:sz w:val="19"/>
        </w:rPr>
        <w:t xml:space="preserve">  3. 학교 내부자원</w:t>
      </w:r>
    </w:p>
    <w:p>
      <w:pPr>
        <w:spacing w:after="40"/>
        <w:ind w:left="1584"/>
      </w:pPr>
      <w:r>
        <w:rPr>
          <w:rFonts w:ascii="맑은 고딕" w:hAnsi="맑은 고딕" w:eastAsia="맑은 고딕"/>
          <w:b w:val="0"/>
          <w:color w:val="000000"/>
          <w:sz w:val="19"/>
        </w:rPr>
        <w:t xml:space="preserve">  4. 지역사회 복지·보건·정신건강 자원</w:t>
      </w:r>
    </w:p>
    <w:p>
      <w:pPr>
        <w:spacing w:after="40"/>
        <w:ind w:left="1584"/>
      </w:pPr>
      <w:r>
        <w:rPr>
          <w:rFonts w:ascii="맑은 고딕" w:hAnsi="맑은 고딕" w:eastAsia="맑은 고딕"/>
          <w:b w:val="0"/>
          <w:color w:val="000000"/>
          <w:sz w:val="19"/>
        </w:rPr>
        <w:t xml:space="preserve">  5. 사법·보호·고용 및 전문자원</w:t>
      </w:r>
    </w:p>
    <w:p>
      <w:pPr>
        <w:spacing w:after="40"/>
        <w:ind w:left="1584"/>
      </w:pPr>
      <w:r>
        <w:rPr>
          <w:rFonts w:ascii="맑은 고딕" w:hAnsi="맑은 고딕" w:eastAsia="맑은 고딕"/>
          <w:b w:val="0"/>
          <w:color w:val="000000"/>
          <w:sz w:val="19"/>
        </w:rPr>
        <w:t xml:space="preserve">  6. 자원사정과 연계의 실제</w:t>
      </w:r>
    </w:p>
    <w:p>
      <w:pPr>
        <w:spacing w:after="40"/>
        <w:ind w:left="1584"/>
      </w:pPr>
      <w:r>
        <w:rPr>
          <w:rFonts w:ascii="맑은 고딕" w:hAnsi="맑은 고딕" w:eastAsia="맑은 고딕"/>
          <w:b w:val="0"/>
          <w:color w:val="000000"/>
          <w:sz w:val="19"/>
        </w:rPr>
        <w:t xml:space="preserve">  7. 윤리적 유의점</w:t>
      </w:r>
    </w:p>
    <w:p>
      <w:pPr>
        <w:spacing w:after="40"/>
        <w:ind w:left="1584"/>
      </w:pPr>
      <w:r>
        <w:rPr>
          <w:rFonts w:ascii="맑은 고딕" w:hAnsi="맑은 고딕" w:eastAsia="맑은 고딕"/>
          <w:b w:val="0"/>
          <w:color w:val="000000"/>
          <w:sz w:val="19"/>
        </w:rPr>
        <w:t>Ⅲ. 결론</w:t>
      </w:r>
    </w:p>
    <w:p>
      <w:pPr>
        <w:spacing w:after="40"/>
        <w:ind w:left="1584"/>
      </w:pPr>
      <w:r>
        <w:rPr>
          <w:rFonts w:ascii="맑은 고딕" w:hAnsi="맑은 고딕" w:eastAsia="맑은 고딕"/>
          <w:b w:val="0"/>
          <w:color w:val="000000"/>
          <w:sz w:val="19"/>
        </w:rPr>
        <w:t>참고문헌</w:t>
      </w:r>
    </w:p>
    <w:p>
      <w:pPr>
        <w:spacing w:before="180"/>
      </w:pPr>
      <w:r>
        <w:rPr>
          <w:rFonts w:ascii="맑은 고딕" w:hAnsi="맑은 고딕" w:eastAsia="맑은 고딕"/>
          <w:b w:val="0"/>
          <w:color w:val="000000"/>
          <w:sz w:val="19"/>
        </w:rPr>
        <w:t>제출일:         년      월      일</w:t>
        <w:br/>
        <w:t>제출자: ____________________</w:t>
      </w:r>
    </w:p>
    <w:tbl>
      <w:tblPr>
        <w:tblW w:type="auto" w:w="0"/>
        <w:jc w:val="center"/>
        <w:tblLayout w:type="fixed"/>
        <w:tblLook w:firstColumn="1" w:firstRow="1" w:lastColumn="0" w:lastRow="0" w:noHBand="0" w:noVBand="1" w:val="04A0"/>
      </w:tblPr>
      <w:tblGrid>
        <w:gridCol w:w="9317"/>
      </w:tblGrid>
      <w:tr>
        <w:tc>
          <w:tcPr>
            <w:tcW w:type="dxa" w:w="8784"/>
            <w:shd w:fill="FFF4E5"/>
            <w:tcMar>
              <w:top w:w="100" w:type="dxa"/>
              <w:start w:w="160" w:type="dxa"/>
              <w:bottom w:w="100" w:type="dxa"/>
              <w:end w:w="160" w:type="dxa"/>
            </w:tcMar>
          </w:tcPr>
          <w:p>
            <w:pPr>
              <w:jc w:val="center"/>
            </w:pPr>
            <w:r>
              <w:rPr>
                <w:rFonts w:ascii="맑은 고딕" w:hAnsi="맑은 고딕" w:eastAsia="맑은 고딕"/>
                <w:b/>
                <w:color w:val="AA2D2D"/>
                <w:sz w:val="22"/>
              </w:rPr>
              <w:t>현재 과제 무료 제작 프로모션 진행 중</w:t>
            </w:r>
          </w:p>
          <w:p>
            <w:pPr>
              <w:spacing w:after="40"/>
              <w:jc w:val="center"/>
            </w:pPr>
            <w:r>
              <w:drawing>
                <wp:inline xmlns:a="http://schemas.openxmlformats.org/drawingml/2006/main" xmlns:pic="http://schemas.openxmlformats.org/drawingml/2006/picture">
                  <wp:extent cx="749808" cy="749808"/>
                  <wp:docPr id="1" name="Picture 1"/>
                  <wp:cNvGraphicFramePr>
                    <a:graphicFrameLocks noChangeAspect="1"/>
                  </wp:cNvGraphicFramePr>
                  <a:graphic>
                    <a:graphicData uri="http://schemas.openxmlformats.org/drawingml/2006/picture">
                      <pic:pic>
                        <pic:nvPicPr>
                          <pic:cNvPr id="0" name="0ef05abb-b9bb-4a13-b1e7-ca2aa8ae7a60.png"/>
                          <pic:cNvPicPr/>
                        </pic:nvPicPr>
                        <pic:blipFill>
                          <a:blip r:embed="rId9"/>
                          <a:stretch>
                            <a:fillRect/>
                          </a:stretch>
                        </pic:blipFill>
                        <pic:spPr>
                          <a:xfrm>
                            <a:off x="0" y="0"/>
                            <a:ext cx="749808" cy="749808"/>
                          </a:xfrm>
                          <a:prstGeom prst="rect"/>
                        </pic:spPr>
                      </pic:pic>
                    </a:graphicData>
                  </a:graphic>
                </wp:inline>
              </w:drawing>
            </w:r>
          </w:p>
          <w:p>
            <w:pPr>
              <w:spacing w:after="60"/>
              <w:jc w:val="center"/>
            </w:pPr>
            <w:hyperlink r:id="rId10">
              <w:r>
                <w:rPr>
                  <w:color w:val="0563C1"/>
                  <w:u w:val="single"/>
                  <w:rFonts w:ascii="Arial" w:hAnsi="Arial"/>
                  <w:sz w:val="18"/>
                </w:rPr>
                <w:t>https://open.kakao.com/o/gtks9vNi</w:t>
              </w:r>
            </w:hyperlink>
          </w:p>
          <w:p>
            <w:pPr>
              <w:spacing w:line="288" w:lineRule="auto" w:after="40"/>
              <w:jc w:val="center"/>
            </w:pPr>
            <w:r>
              <w:rPr>
                <w:rFonts w:ascii="맑은 고딕" w:hAnsi="맑은 고딕" w:eastAsia="맑은 고딕"/>
                <w:b w:val="0"/>
                <w:color w:val="000000"/>
                <w:sz w:val="17"/>
              </w:rPr>
              <w:t>비밀번호: 1027  국민원격교육관리센터에서 1:1 과제 제작 도움을 드립니다.</w:t>
              <w:br/>
              <w:t>전화 050-7878-7044  |  카카오톡 @국민원격교육관리센터</w:t>
            </w:r>
          </w:p>
          <w:p>
            <w:pPr>
              <w:spacing w:before="60"/>
              <w:jc w:val="center"/>
            </w:pPr>
            <w:r>
              <w:rPr>
                <w:rFonts w:ascii="맑은 고딕" w:hAnsi="맑은 고딕" w:eastAsia="맑은 고딕"/>
                <w:b/>
                <w:color w:val="5A5A5A"/>
                <w:sz w:val="16"/>
              </w:rPr>
              <w:t>※ 본 자료는 참고용 샘플이며 그대로 제출하지 마세요.</w:t>
            </w:r>
          </w:p>
        </w:tc>
      </w:tr>
    </w:tbl>
    <w:p>
      <w:r>
        <w:br w:type="page"/>
      </w:r>
    </w:p>
    <w:p>
      <w:pPr>
        <w:pStyle w:val="Heading1"/>
        <w:keepNext/>
      </w:pPr>
      <w:r>
        <w:t>Ⅰ. 서론</w:t>
      </w:r>
    </w:p>
    <w:p>
      <w:pPr>
        <w:spacing w:line="372" w:lineRule="auto" w:after="160"/>
        <w:ind w:firstLine="403"/>
        <w:jc w:val="both"/>
      </w:pPr>
      <w:r>
        <w:rPr>
          <w:rFonts w:ascii="맑은 고딕" w:hAnsi="맑은 고딕" w:eastAsia="맑은 고딕"/>
          <w:b w:val="0"/>
          <w:color w:val="000000"/>
          <w:sz w:val="21"/>
        </w:rPr>
        <w:t>아동·청소년이 학교에서 겪는 문제는 학생 개인만의 원인으로 발생하지 않는다. 경제적 어려움, 부모의 질병이나 갈등, 양육부담, 주거불안과 지역사회 자원 부족이 학업부진, 결석, 정서·행동문제와 연결될 수 있다. 따라서 학교사회복지사는 학생에게만 상담을 제공하는 것을 넘어 가족을 하나의 체계로 이해하고 가족의 욕구와 강점, 주변 자원을 함께 사정해야 한다.</w:t>
      </w:r>
    </w:p>
    <w:p>
      <w:pPr>
        <w:spacing w:line="372" w:lineRule="auto" w:after="160"/>
        <w:ind w:firstLine="403"/>
        <w:jc w:val="both"/>
      </w:pPr>
      <w:r>
        <w:rPr>
          <w:rFonts w:ascii="맑은 고딕" w:hAnsi="맑은 고딕" w:eastAsia="맑은 고딕"/>
          <w:b w:val="0"/>
          <w:color w:val="000000"/>
          <w:sz w:val="21"/>
        </w:rPr>
        <w:t>가족 중심 사례관리는 가족을 문제의 원인이 아니라 변화의 협력자로 보고, 가족이 가진 역량을 강화하면서 필요한 공식적·비공식적 자원을 통합적으로 연결하는 접근이다. 본 과제에서는 가족 중심 사례관리에서 활용할 수 있는 자원을 가족 내부, 비공식적 관계망, 학교, 지역사회 복지·보건·정신건강, 공공 및 전문기관으로 구분하여 살펴보고 효과적인 자원 활용방안을 제시하고자 한다.</w:t>
      </w:r>
    </w:p>
    <w:p>
      <w:pPr>
        <w:pStyle w:val="Heading1"/>
        <w:keepNext/>
      </w:pPr>
      <w:r>
        <w:t>Ⅱ. 본론</w:t>
      </w:r>
    </w:p>
    <w:p>
      <w:pPr>
        <w:pStyle w:val="Heading2"/>
        <w:keepNext/>
      </w:pPr>
      <w:r>
        <w:t>1. 가족 중심 사례관리의 의미와 원칙</w:t>
      </w:r>
    </w:p>
    <w:p>
      <w:pPr>
        <w:spacing w:line="372" w:lineRule="auto" w:after="160"/>
        <w:ind w:firstLine="403"/>
        <w:jc w:val="both"/>
      </w:pPr>
      <w:r>
        <w:rPr>
          <w:rFonts w:ascii="맑은 고딕" w:hAnsi="맑은 고딕" w:eastAsia="맑은 고딕"/>
          <w:b w:val="0"/>
          <w:color w:val="000000"/>
          <w:sz w:val="21"/>
        </w:rPr>
        <w:t>가족 중심 사례관리는 특정 학생의 문제행동만 교정하는 방식이 아니라 가족 전체의 생활조건과 관계, 욕구와 강점을 통합적으로 파악하여 지원계획을 세우는 과정이다. 가족구성원은 서로 영향을 주고받으므로 부모의 실직이나 우울, 형제 돌봄부담이 학생의 출석과 정서상태에 영향을 줄 수 있다. 반대로 학생의 위기는 부모의 양육스트레스와 가족갈등을 심화할 수도 있다.</w:t>
      </w:r>
    </w:p>
    <w:p>
      <w:pPr>
        <w:spacing w:line="372" w:lineRule="auto" w:after="160"/>
        <w:ind w:firstLine="403"/>
        <w:jc w:val="both"/>
      </w:pPr>
      <w:r>
        <w:rPr>
          <w:rFonts w:ascii="맑은 고딕" w:hAnsi="맑은 고딕" w:eastAsia="맑은 고딕"/>
          <w:b w:val="0"/>
          <w:color w:val="000000"/>
          <w:sz w:val="21"/>
        </w:rPr>
        <w:t>핵심 원칙은 가족의 자기결정 존중, 강점 기반 사정, 학생 최선의 이익, 문화적 민감성, 최소침해와 비밀보장, 기관 간 협력이다. 학교사회복지사는 가족에게 필요한 서비스를 일방적으로 정하기보다 가족이 우선 해결하고 싶은 문제와 이용 가능한 시간, 이동능력, 언어와 문화적 배경을 확인해야 한다. 아동학대나 자살위험처럼 안전과 법적 신고가 우선되는 경우에는 비밀보장의 한계를 명확히 설명해야 한다.</w:t>
      </w:r>
    </w:p>
    <w:p>
      <w:pPr>
        <w:pStyle w:val="Heading2"/>
        <w:keepNext/>
      </w:pPr>
      <w:r>
        <w:t>2. 가족 내부자원과 비공식적 자원</w:t>
      </w:r>
    </w:p>
    <w:p>
      <w:pPr>
        <w:spacing w:line="372" w:lineRule="auto" w:after="160"/>
        <w:ind w:firstLine="403"/>
        <w:jc w:val="both"/>
      </w:pPr>
      <w:r>
        <w:rPr>
          <w:rFonts w:ascii="맑은 고딕" w:hAnsi="맑은 고딕" w:eastAsia="맑은 고딕"/>
          <w:b w:val="0"/>
          <w:color w:val="000000"/>
          <w:sz w:val="21"/>
        </w:rPr>
        <w:t>가장 먼저 살펴볼 자원은 가족구성원의 능력, 역할, 과거의 성공경험과 정서적 유대이다. 부모의 문제해결능력, 조부모의 돌봄 가능성, 형제자매의 지지, 가족의 종교·문화적 가치, 생활기술과 경제활동 경험은 개입계획에 활용될 수 있다. 다만 특정 가족구성원에게 희생을 강요하거나 아동에게 과도한 돌봄책임을 맡겨서는 안 된다.</w:t>
      </w:r>
    </w:p>
    <w:p>
      <w:pPr>
        <w:spacing w:line="372" w:lineRule="auto" w:after="160"/>
        <w:ind w:firstLine="403"/>
        <w:jc w:val="both"/>
      </w:pPr>
      <w:r>
        <w:rPr>
          <w:rFonts w:ascii="맑은 고딕" w:hAnsi="맑은 고딕" w:eastAsia="맑은 고딕"/>
          <w:b w:val="0"/>
          <w:color w:val="000000"/>
          <w:sz w:val="21"/>
        </w:rPr>
        <w:t>비공식적 자원에는 친척, 이웃, 친구의 부모, 지역주민, 종교단체와 자조모임 등이 포함된다. 이러한 관계망은 긴급한 등하교 지원, 식사, 정서적 지지와 정보제공에서 유연하게 기능한다. 공식서비스가 종료된 뒤에도 지속될 수 있다는 장점이 있지만 가족의 동의 없이 사생활을 알리거나 관계망의 선의를 당연한 의무로 간주해서는 안 된다.</w:t>
      </w:r>
    </w:p>
    <w:p>
      <w:pPr>
        <w:pStyle w:val="Heading2"/>
        <w:keepNext/>
      </w:pPr>
      <w:r>
        <w:t>3. 학교 내부자원</w:t>
      </w:r>
    </w:p>
    <w:p>
      <w:pPr>
        <w:spacing w:line="372" w:lineRule="auto" w:after="160"/>
        <w:ind w:firstLine="403"/>
        <w:jc w:val="both"/>
      </w:pPr>
      <w:r>
        <w:rPr>
          <w:rFonts w:ascii="맑은 고딕" w:hAnsi="맑은 고딕" w:eastAsia="맑은 고딕"/>
          <w:b w:val="0"/>
          <w:color w:val="000000"/>
          <w:sz w:val="21"/>
        </w:rPr>
        <w:t>학교는 학생이 매일 생활하는 공간이므로 가장 접근성이 높은 자원체계이다. 담임교사는 출결과 학업, 또래관계의 변화를 관찰하고 보호자와 일상적으로 소통할 수 있다. 전문상담교사와 위(Wee)클래스는 심리상담과 위기개입을 제공하며, 보건교사는 건강상태와 투약, 응급상황을 지원한다. 특수교사와 학습지원 담당자는 장애나 학습곤란에 맞는 교육계획을 수립할 수 있다.</w:t>
      </w:r>
    </w:p>
    <w:p>
      <w:pPr>
        <w:spacing w:line="372" w:lineRule="auto" w:after="160"/>
        <w:ind w:firstLine="403"/>
        <w:jc w:val="both"/>
      </w:pPr>
      <w:r>
        <w:rPr>
          <w:rFonts w:ascii="맑은 고딕" w:hAnsi="맑은 고딕" w:eastAsia="맑은 고딕"/>
          <w:b w:val="0"/>
          <w:color w:val="000000"/>
          <w:sz w:val="21"/>
        </w:rPr>
        <w:t>교육복지 담당자, 학교사회복지사, 진로교사, 돌봄교실과 방과후학교도 중요한 자원이다. 학교사회복지사는 이들 자원을 개별적으로 소개하는 데 그치지 않고 사례회의를 통해 역할, 목표, 연락방법과 점검일정을 합의해야 한다. 학교장과 학교운영위원회는 긴급지원 예산, 출결·학업 조정, 교내 프로그램과 지역협약을 승인하는 제도적 자원이 될 수 있다.</w:t>
      </w:r>
    </w:p>
    <w:p>
      <w:pPr>
        <w:pStyle w:val="Heading2"/>
        <w:keepNext/>
      </w:pPr>
      <w:r>
        <w:t>4. 지역사회 복지·보건·정신건강 자원</w:t>
      </w:r>
    </w:p>
    <w:p>
      <w:pPr>
        <w:spacing w:line="372" w:lineRule="auto" w:after="160"/>
        <w:ind w:firstLine="403"/>
        <w:jc w:val="both"/>
      </w:pPr>
      <w:r>
        <w:rPr>
          <w:rFonts w:ascii="맑은 고딕" w:hAnsi="맑은 고딕" w:eastAsia="맑은 고딕"/>
          <w:b w:val="0"/>
          <w:color w:val="000000"/>
          <w:sz w:val="21"/>
        </w:rPr>
        <w:t>행정복지센터와 희망복지지원단은 생계·의료·주거급여, 긴급복지, 통합사례관리와 민간자원 연계를 담당한다. 종합사회복지관과 가족센터는 가족상담, 부모교육, 사례관리, 다문화가족 통번역과 관계향상 프로그램을 제공한다. 지역아동센터, 다함께돌봄센터와 청소년방과후아카데미는 방과후 돌봄과 학습, 급식, 문화활동을 지원한다. 푸드뱅크, 장학재단과 주거복지센터도 경제적 부담을 완화할 수 있다.</w:t>
      </w:r>
    </w:p>
    <w:p>
      <w:pPr>
        <w:spacing w:line="372" w:lineRule="auto" w:after="160"/>
        <w:ind w:firstLine="403"/>
        <w:jc w:val="both"/>
      </w:pPr>
      <w:r>
        <w:rPr>
          <w:rFonts w:ascii="맑은 고딕" w:hAnsi="맑은 고딕" w:eastAsia="맑은 고딕"/>
          <w:b w:val="0"/>
          <w:color w:val="000000"/>
          <w:sz w:val="21"/>
        </w:rPr>
        <w:t>보건소는 건강검진, 예방접종, 영양과 방문건강관리 등을 제공하며 정신건강복지센터는 우울, 자해·자살 위험, 부모의 정신건강 문제에 대한 상담과 치료연계를 담당한다. 청소년상담복지센터와 청소년1388은 청소년 상담, 긴급구조, 보호와 자립지원을 연결하고, 학교 밖 청소년지원센터 꿈드림은 학업중단 청소년의 검정고시, 진로와 자립을 지원한다. 중독관리통합지원센터, 치매안심센터와 장애인복지관도 가족의 상황에 따라 활용할 수 있다.</w:t>
      </w:r>
    </w:p>
    <w:p>
      <w:pPr>
        <w:pStyle w:val="Heading2"/>
        <w:keepNext/>
      </w:pPr>
      <w:r>
        <w:t>5. 사법·보호·고용 및 전문자원</w:t>
      </w:r>
    </w:p>
    <w:p>
      <w:pPr>
        <w:spacing w:line="372" w:lineRule="auto" w:after="160"/>
        <w:ind w:firstLine="403"/>
        <w:jc w:val="both"/>
      </w:pPr>
      <w:r>
        <w:rPr>
          <w:rFonts w:ascii="맑은 고딕" w:hAnsi="맑은 고딕" w:eastAsia="맑은 고딕"/>
          <w:b w:val="0"/>
          <w:color w:val="000000"/>
          <w:sz w:val="21"/>
        </w:rPr>
        <w:t>아동학대가 의심되면 아동보호전문기관과 경찰, 지방자치단체 아동보호전담부서가 안전조사와 보호계획에 참여한다. 가정폭력 피해가 있는 경우 1366, 가정폭력상담소와 보호시설, 대한법률구조공단 등을 연결할 수 있다. 법률문제, 채무, 체류자격과 같은 특수욕구는 전문기관의 지원이 필요하며 학교가 자체적으로 해결하려 해서는 안 된다.</w:t>
      </w:r>
    </w:p>
    <w:p>
      <w:pPr>
        <w:spacing w:line="372" w:lineRule="auto" w:after="160"/>
        <w:ind w:firstLine="403"/>
        <w:jc w:val="both"/>
      </w:pPr>
      <w:r>
        <w:rPr>
          <w:rFonts w:ascii="맑은 고딕" w:hAnsi="맑은 고딕" w:eastAsia="맑은 고딕"/>
          <w:b w:val="0"/>
          <w:color w:val="000000"/>
          <w:sz w:val="21"/>
        </w:rPr>
        <w:t>부모의 고용불안은 고용복지플러스센터, 자활센터, 직업훈련기관과 연계할 수 있다. 의료적 치료가 필요한 학생은 소아청소년과, 정신건강의학과와 재활기관을 활용하고, 치료비 부담이 크면 공공의료 사회사업팀과 민간후원재단을 함께 검토할 수 있다. 자원봉사센터와 대학, 기업의 사회공헌사업은 멘토링과 학습지원에 도움이 되지만 단기봉사가 반복되어 학생에게 관계단절 경험을 주지 않도록 지속성과 책임성을 확인해야 한다.</w:t>
      </w:r>
    </w:p>
    <w:p>
      <w:pPr>
        <w:pStyle w:val="Heading2"/>
        <w:keepNext/>
      </w:pPr>
      <w:r>
        <w:t>6. 자원사정과 연계의 실제</w:t>
      </w:r>
    </w:p>
    <w:p>
      <w:pPr>
        <w:spacing w:line="372" w:lineRule="auto" w:after="160"/>
        <w:ind w:firstLine="403"/>
        <w:jc w:val="both"/>
      </w:pPr>
      <w:r>
        <w:rPr>
          <w:rFonts w:ascii="맑은 고딕" w:hAnsi="맑은 고딕" w:eastAsia="맑은 고딕"/>
          <w:b w:val="0"/>
          <w:color w:val="000000"/>
          <w:sz w:val="21"/>
        </w:rPr>
        <w:t>가족 중심 사례관리에서는 생태도와 자원목록을 활용하여 가족과 기관의 관계를 시각화할 수 있다. 각 자원의 접근조건, 비용, 대기기간, 이동거리, 제공시간과 가족의 선호를 확인한 뒤 우선순위를 정한다. 예를 들어 잦은 결석을 보이는 학생의 원인이 아침 시간 동생돌봄과 부모의 야간근무라면 학생상담만 제공하기보다 다함께돌봄센터, 아이돌봄서비스, 긴급생계지원과 부모 고용상담을 묶어야 한다.</w:t>
      </w:r>
    </w:p>
    <w:p>
      <w:pPr>
        <w:spacing w:line="372" w:lineRule="auto" w:after="160"/>
        <w:ind w:firstLine="403"/>
        <w:jc w:val="both"/>
      </w:pPr>
      <w:r>
        <w:rPr>
          <w:rFonts w:ascii="맑은 고딕" w:hAnsi="맑은 고딕" w:eastAsia="맑은 고딕"/>
          <w:b w:val="0"/>
          <w:color w:val="000000"/>
          <w:sz w:val="21"/>
        </w:rPr>
        <w:t>연계 시에는 의뢰서를 보내는 것에서 끝나지 않고 실제 접수와 이용 여부를 확인해야 한다. 주관기관과 담당자, 공동목표, 정보공유 범위, 위기 시 연락체계와 종결기준을 문서화하면 중복지원과 책임공백을 줄일 수 있다. 가족에게 여러 기관 방문을 동시에 요구하면 부담이 커지므로 핵심 욕구부터 단계적으로 연계하고 가능하면 통합사례회의를 활용해야 한다.</w:t>
      </w:r>
    </w:p>
    <w:p>
      <w:pPr>
        <w:pStyle w:val="Heading2"/>
        <w:keepNext/>
      </w:pPr>
      <w:r>
        <w:t>7. 자원 활용 시 윤리적 유의점</w:t>
      </w:r>
    </w:p>
    <w:p>
      <w:pPr>
        <w:spacing w:line="372" w:lineRule="auto" w:after="160"/>
        <w:ind w:firstLine="403"/>
        <w:jc w:val="both"/>
      </w:pPr>
      <w:r>
        <w:rPr>
          <w:rFonts w:ascii="맑은 고딕" w:hAnsi="맑은 고딕" w:eastAsia="맑은 고딕"/>
          <w:b w:val="0"/>
          <w:color w:val="000000"/>
          <w:sz w:val="21"/>
        </w:rPr>
        <w:t>가족정보를 기관 간 공유할 때에는 목적과 범위, 보유기간을 설명하고 동의를 받아야 한다. 최소한의 정보만 제공하며 사례회의 참석자가 비밀보장 의무를 이해하도록 해야 한다. 다만 학대, 자살 및 타해 위험처럼 법적 신고와 즉각적인 안전확보가 필요한 상황에서는 관련 절차를 우선하고 가족에게 가능한 범위에서 그 이유를 설명해야 한다.</w:t>
      </w:r>
    </w:p>
    <w:p>
      <w:pPr>
        <w:spacing w:line="372" w:lineRule="auto" w:after="160"/>
        <w:ind w:firstLine="403"/>
        <w:jc w:val="both"/>
      </w:pPr>
      <w:r>
        <w:rPr>
          <w:rFonts w:ascii="맑은 고딕" w:hAnsi="맑은 고딕" w:eastAsia="맑은 고딕"/>
          <w:b w:val="0"/>
          <w:color w:val="000000"/>
          <w:sz w:val="21"/>
        </w:rPr>
        <w:t>또한 자원이 존재한다고 해서 모든 가족에게 적합한 것은 아니다. 문화, 언어, 장애, 교통, 낙인 우려와 이용시간을 고려하여 실질적으로 접근 가능한 자원을 선택해야 한다. 가족의 강점을 존중하되 공적 책임을 가족에게 전가하지 말고, 지역에 필요한 서비스가 부족한 경우 학교사회복지사는 자료를 축적하여 제도개선과 자원개발을 옹호해야 한다.</w:t>
      </w:r>
    </w:p>
    <w:p>
      <w:pPr>
        <w:pStyle w:val="Heading2"/>
        <w:keepNext/>
      </w:pPr>
      <w:r>
        <w:t>가족 중심 사례관리의 자원체계 요약</w:t>
      </w:r>
    </w:p>
    <w:tbl>
      <w:tblPr>
        <w:tblW w:type="auto" w:w="0"/>
        <w:jc w:val="center"/>
        <w:tblLayout w:type="fixed"/>
        <w:tblLook w:firstColumn="1" w:firstRow="1" w:lastColumn="0" w:lastRow="0" w:noHBand="0" w:noVBand="1" w:val="04A0"/>
      </w:tblPr>
      <w:tblGrid>
        <w:gridCol w:w="3106"/>
        <w:gridCol w:w="3106"/>
        <w:gridCol w:w="3106"/>
      </w:tblGrid>
      <w:tr>
        <w:tc>
          <w:tcPr>
            <w:tcW w:type="dxa" w:w="3106"/>
            <w:shd w:fill="D9E6F2"/>
            <w:tcMar>
              <w:top w:w="100" w:type="dxa"/>
              <w:start w:w="120" w:type="dxa"/>
              <w:bottom w:w="100" w:type="dxa"/>
              <w:end w:w="120" w:type="dxa"/>
            </w:tcMar>
          </w:tcPr>
          <w:p>
            <w:r>
              <w:rPr>
                <w:rFonts w:ascii="맑은 고딕" w:hAnsi="맑은 고딕" w:eastAsia="맑은 고딕"/>
                <w:b/>
                <w:color w:val="000000"/>
                <w:sz w:val="18"/>
              </w:rPr>
              <w:t>자원체계</w:t>
            </w:r>
          </w:p>
        </w:tc>
        <w:tc>
          <w:tcPr>
            <w:tcW w:type="dxa" w:w="3106"/>
            <w:shd w:fill="D9E6F2"/>
            <w:tcMar>
              <w:top w:w="100" w:type="dxa"/>
              <w:start w:w="120" w:type="dxa"/>
              <w:bottom w:w="100" w:type="dxa"/>
              <w:end w:w="120" w:type="dxa"/>
            </w:tcMar>
          </w:tcPr>
          <w:p>
            <w:r>
              <w:rPr>
                <w:rFonts w:ascii="맑은 고딕" w:hAnsi="맑은 고딕" w:eastAsia="맑은 고딕"/>
                <w:b/>
                <w:color w:val="000000"/>
                <w:sz w:val="18"/>
              </w:rPr>
              <w:t>주요 자원</w:t>
            </w:r>
          </w:p>
        </w:tc>
        <w:tc>
          <w:tcPr>
            <w:tcW w:type="dxa" w:w="3106"/>
            <w:shd w:fill="D9E6F2"/>
            <w:tcMar>
              <w:top w:w="100" w:type="dxa"/>
              <w:start w:w="120" w:type="dxa"/>
              <w:bottom w:w="100" w:type="dxa"/>
              <w:end w:w="120" w:type="dxa"/>
            </w:tcMar>
          </w:tcPr>
          <w:p>
            <w:r>
              <w:rPr>
                <w:rFonts w:ascii="맑은 고딕" w:hAnsi="맑은 고딕" w:eastAsia="맑은 고딕"/>
                <w:b/>
                <w:color w:val="000000"/>
                <w:sz w:val="18"/>
              </w:rPr>
              <w:t>활용 내용</w:t>
            </w:r>
          </w:p>
        </w:tc>
      </w:tr>
      <w:tr>
        <w:tc>
          <w:tcPr>
            <w:tcW w:type="dxa" w:w="3106"/>
            <w:tcMar>
              <w:top w:w="100" w:type="dxa"/>
              <w:start w:w="120" w:type="dxa"/>
              <w:bottom w:w="100" w:type="dxa"/>
              <w:end w:w="120" w:type="dxa"/>
            </w:tcMar>
            <w:vAlign w:val="center"/>
          </w:tcPr>
          <w:p>
            <w:r>
              <w:rPr>
                <w:rFonts w:ascii="맑은 고딕" w:hAnsi="맑은 고딕" w:eastAsia="맑은 고딕"/>
                <w:b w:val="0"/>
                <w:color w:val="000000"/>
                <w:sz w:val="17"/>
              </w:rPr>
              <w:t>가족·비공식</w:t>
            </w:r>
          </w:p>
        </w:tc>
        <w:tc>
          <w:tcPr>
            <w:tcW w:type="dxa" w:w="3106"/>
            <w:tcMar>
              <w:top w:w="100" w:type="dxa"/>
              <w:start w:w="120" w:type="dxa"/>
              <w:bottom w:w="100" w:type="dxa"/>
              <w:end w:w="120" w:type="dxa"/>
            </w:tcMar>
            <w:vAlign w:val="center"/>
          </w:tcPr>
          <w:p>
            <w:r>
              <w:rPr>
                <w:rFonts w:ascii="맑은 고딕" w:hAnsi="맑은 고딕" w:eastAsia="맑은 고딕"/>
                <w:b w:val="0"/>
                <w:color w:val="000000"/>
                <w:sz w:val="17"/>
              </w:rPr>
              <w:t>가족, 친척, 이웃, 자조모임</w:t>
            </w:r>
          </w:p>
        </w:tc>
        <w:tc>
          <w:tcPr>
            <w:tcW w:type="dxa" w:w="3106"/>
            <w:tcMar>
              <w:top w:w="100" w:type="dxa"/>
              <w:start w:w="120" w:type="dxa"/>
              <w:bottom w:w="100" w:type="dxa"/>
              <w:end w:w="120" w:type="dxa"/>
            </w:tcMar>
            <w:vAlign w:val="center"/>
          </w:tcPr>
          <w:p>
            <w:r>
              <w:rPr>
                <w:rFonts w:ascii="맑은 고딕" w:hAnsi="맑은 고딕" w:eastAsia="맑은 고딕"/>
                <w:b w:val="0"/>
                <w:color w:val="000000"/>
                <w:sz w:val="17"/>
              </w:rPr>
              <w:t>돌봄, 정서지지, 생활지원</w:t>
            </w:r>
          </w:p>
        </w:tc>
      </w:tr>
      <w:tr>
        <w:tc>
          <w:tcPr>
            <w:tcW w:type="dxa" w:w="3106"/>
            <w:tcMar>
              <w:top w:w="100" w:type="dxa"/>
              <w:start w:w="120" w:type="dxa"/>
              <w:bottom w:w="100" w:type="dxa"/>
              <w:end w:w="120" w:type="dxa"/>
            </w:tcMar>
            <w:vAlign w:val="center"/>
          </w:tcPr>
          <w:p>
            <w:r>
              <w:rPr>
                <w:rFonts w:ascii="맑은 고딕" w:hAnsi="맑은 고딕" w:eastAsia="맑은 고딕"/>
                <w:b w:val="0"/>
                <w:color w:val="000000"/>
                <w:sz w:val="17"/>
              </w:rPr>
              <w:t>학교</w:t>
            </w:r>
          </w:p>
        </w:tc>
        <w:tc>
          <w:tcPr>
            <w:tcW w:type="dxa" w:w="3106"/>
            <w:tcMar>
              <w:top w:w="100" w:type="dxa"/>
              <w:start w:w="120" w:type="dxa"/>
              <w:bottom w:w="100" w:type="dxa"/>
              <w:end w:w="120" w:type="dxa"/>
            </w:tcMar>
            <w:vAlign w:val="center"/>
          </w:tcPr>
          <w:p>
            <w:r>
              <w:rPr>
                <w:rFonts w:ascii="맑은 고딕" w:hAnsi="맑은 고딕" w:eastAsia="맑은 고딕"/>
                <w:b w:val="0"/>
                <w:color w:val="000000"/>
                <w:sz w:val="17"/>
              </w:rPr>
              <w:t>담임, 상담·보건·특수교사, 교육복지</w:t>
            </w:r>
          </w:p>
        </w:tc>
        <w:tc>
          <w:tcPr>
            <w:tcW w:type="dxa" w:w="3106"/>
            <w:tcMar>
              <w:top w:w="100" w:type="dxa"/>
              <w:start w:w="120" w:type="dxa"/>
              <w:bottom w:w="100" w:type="dxa"/>
              <w:end w:w="120" w:type="dxa"/>
            </w:tcMar>
            <w:vAlign w:val="center"/>
          </w:tcPr>
          <w:p>
            <w:r>
              <w:rPr>
                <w:rFonts w:ascii="맑은 고딕" w:hAnsi="맑은 고딕" w:eastAsia="맑은 고딕"/>
                <w:b w:val="0"/>
                <w:color w:val="000000"/>
                <w:sz w:val="17"/>
              </w:rPr>
              <w:t>관찰, 상담, 학습·건강지원</w:t>
            </w:r>
          </w:p>
        </w:tc>
      </w:tr>
      <w:tr>
        <w:tc>
          <w:tcPr>
            <w:tcW w:type="dxa" w:w="3106"/>
            <w:tcMar>
              <w:top w:w="100" w:type="dxa"/>
              <w:start w:w="120" w:type="dxa"/>
              <w:bottom w:w="100" w:type="dxa"/>
              <w:end w:w="120" w:type="dxa"/>
            </w:tcMar>
            <w:vAlign w:val="center"/>
          </w:tcPr>
          <w:p>
            <w:r>
              <w:rPr>
                <w:rFonts w:ascii="맑은 고딕" w:hAnsi="맑은 고딕" w:eastAsia="맑은 고딕"/>
                <w:b w:val="0"/>
                <w:color w:val="000000"/>
                <w:sz w:val="17"/>
              </w:rPr>
              <w:t>복지·공공</w:t>
            </w:r>
          </w:p>
        </w:tc>
        <w:tc>
          <w:tcPr>
            <w:tcW w:type="dxa" w:w="3106"/>
            <w:tcMar>
              <w:top w:w="100" w:type="dxa"/>
              <w:start w:w="120" w:type="dxa"/>
              <w:bottom w:w="100" w:type="dxa"/>
              <w:end w:w="120" w:type="dxa"/>
            </w:tcMar>
            <w:vAlign w:val="center"/>
          </w:tcPr>
          <w:p>
            <w:r>
              <w:rPr>
                <w:rFonts w:ascii="맑은 고딕" w:hAnsi="맑은 고딕" w:eastAsia="맑은 고딕"/>
                <w:b w:val="0"/>
                <w:color w:val="000000"/>
                <w:sz w:val="17"/>
              </w:rPr>
              <w:t>행정복지센터, 복지관, 가족센터</w:t>
            </w:r>
          </w:p>
        </w:tc>
        <w:tc>
          <w:tcPr>
            <w:tcW w:type="dxa" w:w="3106"/>
            <w:tcMar>
              <w:top w:w="100" w:type="dxa"/>
              <w:start w:w="120" w:type="dxa"/>
              <w:bottom w:w="100" w:type="dxa"/>
              <w:end w:w="120" w:type="dxa"/>
            </w:tcMar>
            <w:vAlign w:val="center"/>
          </w:tcPr>
          <w:p>
            <w:r>
              <w:rPr>
                <w:rFonts w:ascii="맑은 고딕" w:hAnsi="맑은 고딕" w:eastAsia="맑은 고딕"/>
                <w:b w:val="0"/>
                <w:color w:val="000000"/>
                <w:sz w:val="17"/>
              </w:rPr>
              <w:t>소득·주거·돌봄·가족지원</w:t>
            </w:r>
          </w:p>
        </w:tc>
      </w:tr>
      <w:tr>
        <w:tc>
          <w:tcPr>
            <w:tcW w:type="dxa" w:w="3106"/>
            <w:tcMar>
              <w:top w:w="100" w:type="dxa"/>
              <w:start w:w="120" w:type="dxa"/>
              <w:bottom w:w="100" w:type="dxa"/>
              <w:end w:w="120" w:type="dxa"/>
            </w:tcMar>
            <w:vAlign w:val="center"/>
          </w:tcPr>
          <w:p>
            <w:r>
              <w:rPr>
                <w:rFonts w:ascii="맑은 고딕" w:hAnsi="맑은 고딕" w:eastAsia="맑은 고딕"/>
                <w:b w:val="0"/>
                <w:color w:val="000000"/>
                <w:sz w:val="17"/>
              </w:rPr>
              <w:t>보건·정신건강</w:t>
            </w:r>
          </w:p>
        </w:tc>
        <w:tc>
          <w:tcPr>
            <w:tcW w:type="dxa" w:w="3106"/>
            <w:tcMar>
              <w:top w:w="100" w:type="dxa"/>
              <w:start w:w="120" w:type="dxa"/>
              <w:bottom w:w="100" w:type="dxa"/>
              <w:end w:w="120" w:type="dxa"/>
            </w:tcMar>
            <w:vAlign w:val="center"/>
          </w:tcPr>
          <w:p>
            <w:r>
              <w:rPr>
                <w:rFonts w:ascii="맑은 고딕" w:hAnsi="맑은 고딕" w:eastAsia="맑은 고딕"/>
                <w:b w:val="0"/>
                <w:color w:val="000000"/>
                <w:sz w:val="17"/>
              </w:rPr>
              <w:t>보건소, 병원, 정신건강복지센터</w:t>
            </w:r>
          </w:p>
        </w:tc>
        <w:tc>
          <w:tcPr>
            <w:tcW w:type="dxa" w:w="3106"/>
            <w:tcMar>
              <w:top w:w="100" w:type="dxa"/>
              <w:start w:w="120" w:type="dxa"/>
              <w:bottom w:w="100" w:type="dxa"/>
              <w:end w:w="120" w:type="dxa"/>
            </w:tcMar>
            <w:vAlign w:val="center"/>
          </w:tcPr>
          <w:p>
            <w:r>
              <w:rPr>
                <w:rFonts w:ascii="맑은 고딕" w:hAnsi="맑은 고딕" w:eastAsia="맑은 고딕"/>
                <w:b w:val="0"/>
                <w:color w:val="000000"/>
                <w:sz w:val="17"/>
              </w:rPr>
              <w:t>치료, 건강관리, 위기개입</w:t>
            </w:r>
          </w:p>
        </w:tc>
      </w:tr>
      <w:tr>
        <w:tc>
          <w:tcPr>
            <w:tcW w:type="dxa" w:w="3106"/>
            <w:tcMar>
              <w:top w:w="100" w:type="dxa"/>
              <w:start w:w="120" w:type="dxa"/>
              <w:bottom w:w="100" w:type="dxa"/>
              <w:end w:w="120" w:type="dxa"/>
            </w:tcMar>
            <w:vAlign w:val="center"/>
          </w:tcPr>
          <w:p>
            <w:r>
              <w:rPr>
                <w:rFonts w:ascii="맑은 고딕" w:hAnsi="맑은 고딕" w:eastAsia="맑은 고딕"/>
                <w:b w:val="0"/>
                <w:color w:val="000000"/>
                <w:sz w:val="17"/>
              </w:rPr>
              <w:t>청소년·보호</w:t>
            </w:r>
          </w:p>
        </w:tc>
        <w:tc>
          <w:tcPr>
            <w:tcW w:type="dxa" w:w="3106"/>
            <w:tcMar>
              <w:top w:w="100" w:type="dxa"/>
              <w:start w:w="120" w:type="dxa"/>
              <w:bottom w:w="100" w:type="dxa"/>
              <w:end w:w="120" w:type="dxa"/>
            </w:tcMar>
            <w:vAlign w:val="center"/>
          </w:tcPr>
          <w:p>
            <w:r>
              <w:rPr>
                <w:rFonts w:ascii="맑은 고딕" w:hAnsi="맑은 고딕" w:eastAsia="맑은 고딕"/>
                <w:b w:val="0"/>
                <w:color w:val="000000"/>
                <w:sz w:val="17"/>
              </w:rPr>
              <w:t>청소년상담복지센터, 1388, 아동보호기관</w:t>
            </w:r>
          </w:p>
        </w:tc>
        <w:tc>
          <w:tcPr>
            <w:tcW w:type="dxa" w:w="3106"/>
            <w:tcMar>
              <w:top w:w="100" w:type="dxa"/>
              <w:start w:w="120" w:type="dxa"/>
              <w:bottom w:w="100" w:type="dxa"/>
              <w:end w:w="120" w:type="dxa"/>
            </w:tcMar>
            <w:vAlign w:val="center"/>
          </w:tcPr>
          <w:p>
            <w:r>
              <w:rPr>
                <w:rFonts w:ascii="맑은 고딕" w:hAnsi="맑은 고딕" w:eastAsia="맑은 고딕"/>
                <w:b w:val="0"/>
                <w:color w:val="000000"/>
                <w:sz w:val="17"/>
              </w:rPr>
              <w:t>상담, 보호, 자립, 안전확보</w:t>
            </w:r>
          </w:p>
        </w:tc>
      </w:tr>
      <w:tr>
        <w:tc>
          <w:tcPr>
            <w:tcW w:type="dxa" w:w="3106"/>
            <w:tcMar>
              <w:top w:w="100" w:type="dxa"/>
              <w:start w:w="120" w:type="dxa"/>
              <w:bottom w:w="100" w:type="dxa"/>
              <w:end w:w="120" w:type="dxa"/>
            </w:tcMar>
            <w:vAlign w:val="center"/>
          </w:tcPr>
          <w:p>
            <w:r>
              <w:rPr>
                <w:rFonts w:ascii="맑은 고딕" w:hAnsi="맑은 고딕" w:eastAsia="맑은 고딕"/>
                <w:b w:val="0"/>
                <w:color w:val="000000"/>
                <w:sz w:val="17"/>
              </w:rPr>
              <w:t>고용·법률</w:t>
            </w:r>
          </w:p>
        </w:tc>
        <w:tc>
          <w:tcPr>
            <w:tcW w:type="dxa" w:w="3106"/>
            <w:tcMar>
              <w:top w:w="100" w:type="dxa"/>
              <w:start w:w="120" w:type="dxa"/>
              <w:bottom w:w="100" w:type="dxa"/>
              <w:end w:w="120" w:type="dxa"/>
            </w:tcMar>
            <w:vAlign w:val="center"/>
          </w:tcPr>
          <w:p>
            <w:r>
              <w:rPr>
                <w:rFonts w:ascii="맑은 고딕" w:hAnsi="맑은 고딕" w:eastAsia="맑은 고딕"/>
                <w:b w:val="0"/>
                <w:color w:val="000000"/>
                <w:sz w:val="17"/>
              </w:rPr>
              <w:t>고용센터, 자활센터, 법률구조공단</w:t>
            </w:r>
          </w:p>
        </w:tc>
        <w:tc>
          <w:tcPr>
            <w:tcW w:type="dxa" w:w="3106"/>
            <w:tcMar>
              <w:top w:w="100" w:type="dxa"/>
              <w:start w:w="120" w:type="dxa"/>
              <w:bottom w:w="100" w:type="dxa"/>
              <w:end w:w="120" w:type="dxa"/>
            </w:tcMar>
            <w:vAlign w:val="center"/>
          </w:tcPr>
          <w:p>
            <w:r>
              <w:rPr>
                <w:rFonts w:ascii="맑은 고딕" w:hAnsi="맑은 고딕" w:eastAsia="맑은 고딕"/>
                <w:b w:val="0"/>
                <w:color w:val="000000"/>
                <w:sz w:val="17"/>
              </w:rPr>
              <w:t>취업, 채무·법률문제 지원</w:t>
            </w:r>
          </w:p>
        </w:tc>
      </w:tr>
    </w:tbl>
    <w:p>
      <w:r>
        <w:br w:type="page"/>
      </w:r>
    </w:p>
    <w:p>
      <w:pPr>
        <w:pStyle w:val="Heading1"/>
        <w:keepNext/>
      </w:pPr>
      <w:r>
        <w:t>Ⅲ. 결론</w:t>
      </w:r>
    </w:p>
    <w:p>
      <w:pPr>
        <w:spacing w:line="372" w:lineRule="auto" w:after="160"/>
        <w:ind w:firstLine="403"/>
        <w:jc w:val="both"/>
      </w:pPr>
      <w:r>
        <w:rPr>
          <w:rFonts w:ascii="맑은 고딕" w:hAnsi="맑은 고딕" w:eastAsia="맑은 고딕"/>
          <w:b w:val="0"/>
          <w:color w:val="000000"/>
          <w:sz w:val="21"/>
        </w:rPr>
        <w:t>가족 중심 사례관리에서 활용할 수 있는 자원은 가족 내부의 능력과 친척·이웃 같은 비공식적 관계망에서부터 학교, 행정복지센터, 복지관, 가족센터, 보건·정신건강기관, 상담·보호·사법·고용기관에 이르기까지 다양하다. 중요한 것은 자원의 수가 아니라 가족의 욕구와 강점에 맞게 접근 가능한 자원을 조합하고 실제 이용과 변화를 점검하는 것이다.</w:t>
      </w:r>
    </w:p>
    <w:p>
      <w:pPr>
        <w:spacing w:line="372" w:lineRule="auto" w:after="160"/>
        <w:ind w:firstLine="403"/>
        <w:jc w:val="both"/>
      </w:pPr>
      <w:r>
        <w:rPr>
          <w:rFonts w:ascii="맑은 고딕" w:hAnsi="맑은 고딕" w:eastAsia="맑은 고딕"/>
          <w:b w:val="0"/>
          <w:color w:val="000000"/>
          <w:sz w:val="21"/>
        </w:rPr>
        <w:t>학교사회복지사는 학생과 가족의 자기결정을 존중하면서 여러 체계 사이의 조정자와 옹호자로 기능해야 한다. 정보공유의 동의와 최소화, 안전위기의 우선 대응, 문화적 민감성을 지키고 통합사례회의와 사후점검을 강화할 때 가족 중심 개입은 학생 개인의 변화뿐 아니라 가족의 안정과 지역사회 보호체계의 지속성을 높일 수 있다.</w:t>
      </w:r>
    </w:p>
    <w:p>
      <w:pPr>
        <w:pStyle w:val="Heading1"/>
        <w:keepNext/>
      </w:pPr>
      <w:r>
        <w:t>참고문헌</w:t>
      </w:r>
    </w:p>
    <w:p>
      <w:pPr>
        <w:spacing w:after="100"/>
        <w:ind w:left="403"/>
      </w:pPr>
      <w:r>
        <w:rPr>
          <w:rFonts w:ascii="맑은 고딕" w:hAnsi="맑은 고딕" w:eastAsia="맑은 고딕"/>
          <w:b w:val="0"/>
          <w:color w:val="000000"/>
          <w:sz w:val="19"/>
        </w:rPr>
        <w:t>성민선 외. (2009). 학교사회복지의 이론과 실제. 학지사.</w:t>
      </w:r>
    </w:p>
    <w:p>
      <w:pPr>
        <w:spacing w:after="100"/>
        <w:ind w:left="403"/>
      </w:pPr>
      <w:r>
        <w:rPr>
          <w:rFonts w:ascii="맑은 고딕" w:hAnsi="맑은 고딕" w:eastAsia="맑은 고딕"/>
          <w:b w:val="0"/>
          <w:color w:val="000000"/>
          <w:sz w:val="19"/>
        </w:rPr>
        <w:t>한국학교사회복지사협회. (2021). 학교사회복지론. 양서원.</w:t>
      </w:r>
    </w:p>
    <w:p>
      <w:pPr>
        <w:spacing w:after="100"/>
        <w:ind w:left="403"/>
      </w:pPr>
      <w:r>
        <w:rPr>
          <w:rFonts w:ascii="맑은 고딕" w:hAnsi="맑은 고딕" w:eastAsia="맑은 고딕"/>
          <w:b w:val="0"/>
          <w:color w:val="000000"/>
          <w:sz w:val="19"/>
        </w:rPr>
        <w:t>정순둘. (2016). 사례관리실천의 이해. 학지사.</w:t>
      </w:r>
    </w:p>
    <w:p>
      <w:pPr>
        <w:spacing w:after="100"/>
        <w:ind w:left="403"/>
      </w:pPr>
      <w:r>
        <w:rPr>
          <w:rFonts w:ascii="맑은 고딕" w:hAnsi="맑은 고딕" w:eastAsia="맑은 고딕"/>
          <w:b w:val="0"/>
          <w:color w:val="000000"/>
          <w:sz w:val="19"/>
        </w:rPr>
        <w:t>보건복지부. (2024). 희망복지지원단 업무안내.</w:t>
      </w:r>
    </w:p>
    <w:p>
      <w:pPr>
        <w:spacing w:after="100"/>
        <w:ind w:left="403"/>
      </w:pPr>
      <w:r>
        <w:rPr>
          <w:rFonts w:ascii="맑은 고딕" w:hAnsi="맑은 고딕" w:eastAsia="맑은 고딕"/>
          <w:b w:val="0"/>
          <w:color w:val="000000"/>
          <w:sz w:val="19"/>
        </w:rPr>
        <w:t>성평등가족부. (2024). 청소년사업 안내.</w:t>
      </w:r>
    </w:p>
    <w:p>
      <w:r>
        <w:br w:type="page"/>
      </w:r>
    </w:p>
    <w:p>
      <w:pPr>
        <w:spacing w:before="960"/>
        <w:jc w:val="center"/>
      </w:pPr>
      <w:r>
        <w:rPr>
          <w:rFonts w:ascii="맑은 고딕" w:hAnsi="맑은 고딕" w:eastAsia="맑은 고딕"/>
          <w:b/>
          <w:color w:val="1E4064"/>
          <w:sz w:val="40"/>
        </w:rPr>
        <w:t>과제 참고자료 이용 안내</w:t>
      </w:r>
    </w:p>
    <w:p>
      <w:pPr>
        <w:spacing w:before="320" w:line="348" w:lineRule="auto"/>
        <w:jc w:val="center"/>
      </w:pPr>
      <w:r>
        <w:rPr>
          <w:rFonts w:ascii="맑은 고딕" w:hAnsi="맑은 고딕" w:eastAsia="맑은 고딕"/>
          <w:b/>
          <w:color w:val="1E4064"/>
          <w:sz w:val="24"/>
        </w:rPr>
        <w:t>⚠ 주의사항</w:t>
      </w:r>
    </w:p>
    <w:p>
      <w:pPr>
        <w:spacing w:before="140" w:line="348" w:lineRule="auto"/>
        <w:jc w:val="center"/>
      </w:pPr>
      <w:r>
        <w:rPr>
          <w:rFonts w:ascii="맑은 고딕" w:hAnsi="맑은 고딕" w:eastAsia="맑은 고딕"/>
          <w:b w:val="0"/>
          <w:color w:val="000000"/>
          <w:sz w:val="21"/>
        </w:rPr>
        <w:t>본 자료는 학점은행제 과제 참고용 샘플입니다. 그대로 제출할 경우 모사율(표절률)로 인하여 성적 불이익 또는 해당 과목 0점 처리될 수 있으므로 반드시 본인의 언어로 수정·재작성하여 제출하시기 바랍니다.</w:t>
      </w:r>
    </w:p>
    <w:p>
      <w:pPr>
        <w:spacing w:before="320" w:line="348" w:lineRule="auto"/>
        <w:jc w:val="center"/>
      </w:pPr>
      <w:r>
        <w:rPr>
          <w:rFonts w:ascii="맑은 고딕" w:hAnsi="맑은 고딕" w:eastAsia="맑은 고딕"/>
          <w:b/>
          <w:color w:val="1E4064"/>
          <w:sz w:val="24"/>
        </w:rPr>
        <w:t>현재 과제 무료 제작 프로모션 진행 중</w:t>
      </w:r>
    </w:p>
    <w:p>
      <w:pPr>
        <w:spacing w:before="140" w:line="348" w:lineRule="auto"/>
        <w:jc w:val="center"/>
      </w:pPr>
      <w:r>
        <w:rPr>
          <w:rFonts w:ascii="맑은 고딕" w:hAnsi="맑은 고딕" w:eastAsia="맑은 고딕"/>
          <w:b w:val="0"/>
          <w:color w:val="000000"/>
          <w:sz w:val="21"/>
        </w:rPr>
        <w:t>과제 수정이 어렵거나 새로운 과제 제작이 필요한 경우 국민원격교육관리센터에서 1:1로 도와드립니다.</w:t>
      </w:r>
    </w:p>
    <w:p>
      <w:pPr>
        <w:spacing w:before="140" w:line="348" w:lineRule="auto"/>
        <w:jc w:val="center"/>
      </w:pPr>
      <w:r>
        <w:rPr>
          <w:rFonts w:ascii="맑은 고딕" w:hAnsi="맑은 고딕" w:eastAsia="맑은 고딕"/>
          <w:b w:val="0"/>
          <w:color w:val="000000"/>
          <w:sz w:val="21"/>
        </w:rPr>
        <w:t>전화: 050-7878-7044</w:t>
        <w:br/>
        <w:t>카카오톡: @국민원격교육관리센터</w:t>
        <w:br/>
        <w:t>운영시간: 평일 10:00–19:00</w:t>
        <w:br/>
        <w:t>웹사이트: korealms.co.kr</w:t>
      </w:r>
    </w:p>
    <w:sectPr w:rsidR="00FC693F" w:rsidRPr="0006063C" w:rsidSect="00034616">
      <w:headerReference w:type="default" r:id="rId11"/>
      <w:footerReference w:type="default" r:id="rId12"/>
      <w:pgSz w:w="11909" w:h="16834"/>
      <w:pgMar w:top="1123" w:right="1296" w:bottom="1037"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맑은 고딕" w:hAnsi="맑은 고딕" w:eastAsia="맑은 고딕"/>
        <w:b w:val="0"/>
        <w:color w:val="5A5A5A"/>
        <w:sz w:val="16"/>
      </w:rPr>
      <w:t>학교사회복지론 | 과제 참고용 샘플</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맑은 고딕" w:hAnsi="맑은 고딕" w:eastAsia="맑은 고딕"/>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60"/>
      <w:outlineLvl w:val="0"/>
    </w:pPr>
    <w:rPr>
      <w:rFonts w:asciiTheme="majorHAnsi" w:eastAsiaTheme="majorEastAsia" w:hAnsiTheme="majorHAnsi" w:cstheme="majorBidi" w:ascii="맑은 고딕" w:hAnsi="맑은 고딕" w:eastAsia="맑은 고딕"/>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20" w:after="120"/>
      <w:outlineLvl w:val="1"/>
    </w:pPr>
    <w:rPr>
      <w:rFonts w:asciiTheme="majorHAnsi" w:eastAsiaTheme="majorEastAsia" w:hAnsiTheme="majorHAnsi" w:cstheme="majorBidi" w:ascii="맑은 고딕" w:hAnsi="맑은 고딕" w:eastAsia="맑은 고딕"/>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hyperlink" Target="https://open.kakao.com/o/gtks9vNi" TargetMode="External"/><Relationship Id="rId11" Type="http://schemas.openxmlformats.org/officeDocument/2006/relationships/header" Target="header1.xml"/><Relationship Id="rId1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