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500"/>
        <w:jc w:val="center"/>
      </w:pPr>
      <w:r>
        <w:rPr>
          <w:rFonts w:ascii="맑은 고딕" w:hAnsi="맑은 고딕" w:eastAsia="맑은 고딕"/>
          <w:b/>
          <w:color w:val="1E4064"/>
          <w:sz w:val="50"/>
        </w:rPr>
        <w:t>청소년복지론</w:t>
      </w:r>
    </w:p>
    <w:p>
      <w:pPr>
        <w:jc w:val="center"/>
      </w:pPr>
      <w:r>
        <w:rPr>
          <w:rFonts w:ascii="맑은 고딕" w:hAnsi="맑은 고딕" w:eastAsia="맑은 고딕"/>
          <w:b w:val="0"/>
          <w:color w:val="5A5A5A"/>
          <w:sz w:val="30"/>
        </w:rPr>
        <w:t>과제 보고서</w:t>
      </w:r>
    </w:p>
    <w:p>
      <w:pPr>
        <w:spacing w:before="320"/>
        <w:jc w:val="center"/>
      </w:pPr>
      <w:r>
        <w:rPr>
          <w:rFonts w:ascii="맑은 고딕" w:hAnsi="맑은 고딕" w:eastAsia="맑은 고딕"/>
          <w:b/>
          <w:color w:val="1E4064"/>
          <w:sz w:val="21"/>
        </w:rPr>
        <w:t>과제 주제</w:t>
      </w:r>
    </w:p>
    <w:p>
      <w:pPr>
        <w:spacing w:line="312" w:lineRule="auto"/>
        <w:ind w:left="504" w:right="504"/>
        <w:jc w:val="center"/>
      </w:pPr>
      <w:r>
        <w:rPr>
          <w:rFonts w:ascii="맑은 고딕" w:hAnsi="맑은 고딕" w:eastAsia="맑은 고딕"/>
          <w:b w:val="0"/>
          <w:color w:val="000000"/>
          <w:sz w:val="21"/>
        </w:rPr>
        <w:t>현행 청소년 관련법 중 문제가 있는 부분은 무엇이라고 생각하며, 개정되어야 한다면 어떤 부분이 어떻게 개정되어야 하는지 기술하시오.</w:t>
      </w:r>
    </w:p>
    <w:p>
      <w:pPr>
        <w:spacing w:before="260"/>
        <w:jc w:val="center"/>
      </w:pPr>
      <w:r>
        <w:rPr>
          <w:rFonts w:ascii="맑은 고딕" w:hAnsi="맑은 고딕" w:eastAsia="맑은 고딕"/>
          <w:b/>
          <w:color w:val="1E4064"/>
          <w:sz w:val="28"/>
        </w:rPr>
        <w:t>목  차</w:t>
      </w:r>
    </w:p>
    <w:p>
      <w:pPr>
        <w:spacing w:after="40"/>
        <w:ind w:left="1584"/>
      </w:pPr>
      <w:r>
        <w:rPr>
          <w:rFonts w:ascii="맑은 고딕" w:hAnsi="맑은 고딕" w:eastAsia="맑은 고딕"/>
          <w:b w:val="0"/>
          <w:color w:val="000000"/>
          <w:sz w:val="19"/>
        </w:rPr>
        <w:t>Ⅰ. 서론</w:t>
      </w:r>
    </w:p>
    <w:p>
      <w:pPr>
        <w:spacing w:after="40"/>
        <w:ind w:left="1584"/>
      </w:pPr>
      <w:r>
        <w:rPr>
          <w:rFonts w:ascii="맑은 고딕" w:hAnsi="맑은 고딕" w:eastAsia="맑은 고딕"/>
          <w:b w:val="0"/>
          <w:color w:val="000000"/>
          <w:sz w:val="19"/>
        </w:rPr>
        <w:t>Ⅱ. 본론</w:t>
      </w:r>
    </w:p>
    <w:p>
      <w:pPr>
        <w:spacing w:after="40"/>
        <w:ind w:left="1584"/>
      </w:pPr>
      <w:r>
        <w:rPr>
          <w:rFonts w:ascii="맑은 고딕" w:hAnsi="맑은 고딕" w:eastAsia="맑은 고딕"/>
          <w:b w:val="0"/>
          <w:color w:val="000000"/>
          <w:sz w:val="19"/>
        </w:rPr>
        <w:t xml:space="preserve">  1. 청소년복지 지원법의 목적과 주요 내용</w:t>
      </w:r>
    </w:p>
    <w:p>
      <w:pPr>
        <w:spacing w:after="40"/>
        <w:ind w:left="1584"/>
      </w:pPr>
      <w:r>
        <w:rPr>
          <w:rFonts w:ascii="맑은 고딕" w:hAnsi="맑은 고딕" w:eastAsia="맑은 고딕"/>
          <w:b w:val="0"/>
          <w:color w:val="000000"/>
          <w:sz w:val="19"/>
        </w:rPr>
        <w:t xml:space="preserve">  2. 가정 밖 청소년 자립지원의 문제</w:t>
      </w:r>
    </w:p>
    <w:p>
      <w:pPr>
        <w:spacing w:after="40"/>
        <w:ind w:left="1584"/>
      </w:pPr>
      <w:r>
        <w:rPr>
          <w:rFonts w:ascii="맑은 고딕" w:hAnsi="맑은 고딕" w:eastAsia="맑은 고딕"/>
          <w:b w:val="0"/>
          <w:color w:val="000000"/>
          <w:sz w:val="19"/>
        </w:rPr>
        <w:t xml:space="preserve">  3. 현행 규정의 한계</w:t>
      </w:r>
    </w:p>
    <w:p>
      <w:pPr>
        <w:spacing w:after="40"/>
        <w:ind w:left="1584"/>
      </w:pPr>
      <w:r>
        <w:rPr>
          <w:rFonts w:ascii="맑은 고딕" w:hAnsi="맑은 고딕" w:eastAsia="맑은 고딕"/>
          <w:b w:val="0"/>
          <w:color w:val="000000"/>
          <w:sz w:val="19"/>
        </w:rPr>
        <w:t xml:space="preserve">  4. 구체적인 법 개정방안</w:t>
      </w:r>
    </w:p>
    <w:p>
      <w:pPr>
        <w:spacing w:after="40"/>
        <w:ind w:left="1584"/>
      </w:pPr>
      <w:r>
        <w:rPr>
          <w:rFonts w:ascii="맑은 고딕" w:hAnsi="맑은 고딕" w:eastAsia="맑은 고딕"/>
          <w:b w:val="0"/>
          <w:color w:val="000000"/>
          <w:sz w:val="19"/>
        </w:rPr>
        <w:t xml:space="preserve">  5. 기대효과와 고려사항</w:t>
      </w:r>
    </w:p>
    <w:p>
      <w:pPr>
        <w:spacing w:after="40"/>
        <w:ind w:left="1584"/>
      </w:pPr>
      <w:r>
        <w:rPr>
          <w:rFonts w:ascii="맑은 고딕" w:hAnsi="맑은 고딕" w:eastAsia="맑은 고딕"/>
          <w:b w:val="0"/>
          <w:color w:val="000000"/>
          <w:sz w:val="19"/>
        </w:rPr>
        <w:t>Ⅲ. 결론</w:t>
      </w:r>
    </w:p>
    <w:p>
      <w:pPr>
        <w:spacing w:after="40"/>
        <w:ind w:left="1584"/>
      </w:pPr>
      <w:r>
        <w:rPr>
          <w:rFonts w:ascii="맑은 고딕" w:hAnsi="맑은 고딕" w:eastAsia="맑은 고딕"/>
          <w:b w:val="0"/>
          <w:color w:val="000000"/>
          <w:sz w:val="19"/>
        </w:rPr>
        <w:t>참고문헌</w:t>
      </w:r>
    </w:p>
    <w:p>
      <w:pPr>
        <w:spacing w:before="180"/>
      </w:pPr>
      <w:r>
        <w:rPr>
          <w:rFonts w:ascii="맑은 고딕" w:hAnsi="맑은 고딕" w:eastAsia="맑은 고딕"/>
          <w:b w:val="0"/>
          <w:color w:val="000000"/>
          <w:sz w:val="19"/>
        </w:rPr>
        <w:t>제출일:         년      월      일</w:t>
        <w:br/>
        <w:t>제출자: ____________________</w:t>
      </w:r>
    </w:p>
    <w:tbl>
      <w:tblPr>
        <w:tblW w:type="auto" w:w="0"/>
        <w:jc w:val="center"/>
        <w:tblLayout w:type="fixed"/>
        <w:tblLook w:firstColumn="1" w:firstRow="1" w:lastColumn="0" w:lastRow="0" w:noHBand="0" w:noVBand="1" w:val="04A0"/>
      </w:tblPr>
      <w:tblGrid>
        <w:gridCol w:w="9317"/>
      </w:tblGrid>
      <w:tr>
        <w:tc>
          <w:tcPr>
            <w:tcW w:type="dxa" w:w="8784"/>
            <w:shd w:fill="FFF4E5"/>
            <w:tcMar>
              <w:top w:w="100" w:type="dxa"/>
              <w:start w:w="160" w:type="dxa"/>
              <w:bottom w:w="100" w:type="dxa"/>
              <w:end w:w="160" w:type="dxa"/>
            </w:tcMar>
          </w:tcPr>
          <w:p>
            <w:pPr>
              <w:jc w:val="center"/>
            </w:pPr>
            <w:r>
              <w:rPr>
                <w:rFonts w:ascii="맑은 고딕" w:hAnsi="맑은 고딕" w:eastAsia="맑은 고딕"/>
                <w:b/>
                <w:color w:val="AA2D2D"/>
                <w:sz w:val="22"/>
              </w:rPr>
              <w:t>현재 과제 무료 제작 프로모션 진행 중</w:t>
            </w:r>
          </w:p>
          <w:p>
            <w:pPr>
              <w:spacing w:after="40"/>
              <w:jc w:val="center"/>
            </w:pPr>
            <w:r>
              <w:drawing>
                <wp:inline xmlns:a="http://schemas.openxmlformats.org/drawingml/2006/main" xmlns:pic="http://schemas.openxmlformats.org/drawingml/2006/picture">
                  <wp:extent cx="749808" cy="749808"/>
                  <wp:docPr id="1" name="Picture 1"/>
                  <wp:cNvGraphicFramePr>
                    <a:graphicFrameLocks noChangeAspect="1"/>
                  </wp:cNvGraphicFramePr>
                  <a:graphic>
                    <a:graphicData uri="http://schemas.openxmlformats.org/drawingml/2006/picture">
                      <pic:pic>
                        <pic:nvPicPr>
                          <pic:cNvPr id="0" name="0ef05abb-b9bb-4a13-b1e7-ca2aa8ae7a60.png"/>
                          <pic:cNvPicPr/>
                        </pic:nvPicPr>
                        <pic:blipFill>
                          <a:blip r:embed="rId9"/>
                          <a:stretch>
                            <a:fillRect/>
                          </a:stretch>
                        </pic:blipFill>
                        <pic:spPr>
                          <a:xfrm>
                            <a:off x="0" y="0"/>
                            <a:ext cx="749808" cy="749808"/>
                          </a:xfrm>
                          <a:prstGeom prst="rect"/>
                        </pic:spPr>
                      </pic:pic>
                    </a:graphicData>
                  </a:graphic>
                </wp:inline>
              </w:drawing>
            </w:r>
          </w:p>
          <w:p>
            <w:pPr>
              <w:spacing w:after="60"/>
              <w:jc w:val="center"/>
            </w:pPr>
            <w:hyperlink r:id="rId10">
              <w:r>
                <w:rPr>
                  <w:color w:val="0563C1"/>
                  <w:u w:val="single"/>
                  <w:rFonts w:ascii="Arial" w:hAnsi="Arial"/>
                  <w:sz w:val="18"/>
                </w:rPr>
                <w:t>https://open.kakao.com/o/gtks9vNi</w:t>
              </w:r>
            </w:hyperlink>
          </w:p>
          <w:p>
            <w:pPr>
              <w:spacing w:line="288" w:lineRule="auto" w:after="40"/>
              <w:jc w:val="center"/>
            </w:pPr>
            <w:r>
              <w:rPr>
                <w:rFonts w:ascii="맑은 고딕" w:hAnsi="맑은 고딕" w:eastAsia="맑은 고딕"/>
                <w:b w:val="0"/>
                <w:color w:val="000000"/>
                <w:sz w:val="17"/>
              </w:rPr>
              <w:t>비밀번호: 1027  국민원격교육관리센터에서 1:1 과제 제작 도움을 드립니다.</w:t>
              <w:br/>
              <w:t>전화 050-7878-7044  |  카카오톡 @국민원격교육관리센터</w:t>
            </w:r>
          </w:p>
          <w:p>
            <w:pPr>
              <w:spacing w:before="60"/>
              <w:jc w:val="center"/>
            </w:pPr>
            <w:r>
              <w:rPr>
                <w:rFonts w:ascii="맑은 고딕" w:hAnsi="맑은 고딕" w:eastAsia="맑은 고딕"/>
                <w:b/>
                <w:color w:val="5A5A5A"/>
                <w:sz w:val="16"/>
              </w:rPr>
              <w:t>※ 본 자료는 참고용 샘플이며 그대로 제출하지 마세요.</w:t>
            </w:r>
          </w:p>
        </w:tc>
      </w:tr>
    </w:tbl>
    <w:p>
      <w:r>
        <w:br w:type="page"/>
      </w:r>
    </w:p>
    <w:p>
      <w:pPr>
        <w:pStyle w:val="Heading1"/>
        <w:keepNext/>
      </w:pPr>
      <w:r>
        <w:t>Ⅰ. 서론</w:t>
      </w:r>
    </w:p>
    <w:p>
      <w:pPr>
        <w:spacing w:line="372" w:lineRule="auto" w:after="160"/>
        <w:ind w:firstLine="403"/>
        <w:jc w:val="both"/>
      </w:pPr>
      <w:r>
        <w:rPr>
          <w:rFonts w:ascii="맑은 고딕" w:hAnsi="맑은 고딕" w:eastAsia="맑은 고딕"/>
          <w:b w:val="0"/>
          <w:color w:val="000000"/>
          <w:sz w:val="21"/>
        </w:rPr>
        <w:t>청소년복지 지원법은 청소년의 복지 향상과 위기청소년 보호·지원에 필요한 제도적 근거를 마련한 법률이다. 현행법은 청소년상담복지센터, 청소년복지시설, 위기청소년 특별지원, 지역사회 청소년통합지원체계 등을 규정하여 가정 밖 청소년과 학교 밖 청소년, 경제적·정서적 위기에 놓인 청소년을 지원한다. 그러나 법률상 제도가 마련되어 있어도 시설 퇴소 이후의 주거와 생계, 교육 및 취업 지원이 지역에 따라 달라 보호의 연속성이 끊기는 문제가 존재한다.</w:t>
      </w:r>
    </w:p>
    <w:p>
      <w:pPr>
        <w:spacing w:line="372" w:lineRule="auto" w:after="160"/>
        <w:ind w:firstLine="403"/>
        <w:jc w:val="both"/>
      </w:pPr>
      <w:r>
        <w:rPr>
          <w:rFonts w:ascii="맑은 고딕" w:hAnsi="맑은 고딕" w:eastAsia="맑은 고딕"/>
          <w:b w:val="0"/>
          <w:color w:val="000000"/>
          <w:sz w:val="21"/>
        </w:rPr>
        <w:t>본 과제에서는 현행 청소년복지 지원법 가운데 가정 밖 청소년의 자립지원이 충분히 권리로 보장되지 못하고 지방자치단체별 격차가 발생하는 점을 문제로 선정한다. 관련 규정과 현실적 한계를 검토하고, 국가와 지방자치단체의 책임, 지원기간, 사후관리 및 전달체계를 구체화하는 개정방안을 제안하고자 한다.</w:t>
      </w:r>
    </w:p>
    <w:p>
      <w:pPr>
        <w:pStyle w:val="Heading1"/>
        <w:keepNext/>
      </w:pPr>
      <w:r>
        <w:t>Ⅱ. 본론</w:t>
      </w:r>
    </w:p>
    <w:p>
      <w:pPr>
        <w:pStyle w:val="Heading2"/>
        <w:keepNext/>
      </w:pPr>
      <w:r>
        <w:t>1. 청소년복지 지원법의 목적과 주요 내용</w:t>
      </w:r>
    </w:p>
    <w:p>
      <w:pPr>
        <w:spacing w:line="372" w:lineRule="auto" w:after="160"/>
        <w:ind w:firstLine="403"/>
        <w:jc w:val="both"/>
      </w:pPr>
      <w:r>
        <w:rPr>
          <w:rFonts w:ascii="맑은 고딕" w:hAnsi="맑은 고딕" w:eastAsia="맑은 고딕"/>
          <w:b w:val="0"/>
          <w:color w:val="000000"/>
          <w:sz w:val="21"/>
        </w:rPr>
        <w:t>청소년복지 지원법은 청소년이 정상적인 삶을 누릴 수 있는 기본적 여건을 조성하고 조화롭게 성장·발달하도록 지원하는 것을 목적으로 한다. 법은 위기청소년을 가정문제, 학업 수행 또는 사회적응의 어려움 등으로 건강한 성장에 필요한 여건을 갖추지 못한 청소년으로 정의하고, 국가와 지방자치단체가 상담·보호·교육·자립 등 필요한 지원을 제공하도록 한다.</w:t>
      </w:r>
    </w:p>
    <w:p>
      <w:pPr>
        <w:spacing w:line="372" w:lineRule="auto" w:after="160"/>
        <w:ind w:firstLine="403"/>
        <w:jc w:val="both"/>
      </w:pPr>
      <w:r>
        <w:rPr>
          <w:rFonts w:ascii="맑은 고딕" w:hAnsi="맑은 고딕" w:eastAsia="맑은 고딕"/>
          <w:b w:val="0"/>
          <w:color w:val="000000"/>
          <w:sz w:val="21"/>
        </w:rPr>
        <w:t>주요 제도에는 지역사회 청소년통합지원체계, 위기청소년 특별지원, 청소년상담복지센터, 청소년쉼터·청소년자립지원관·청소년회복지원시설 등이 있다. 특별지원은 보호자가 없거나 실질적인 보호를 받지 못하는 청소년 등에게 생활·건강·학업·자립·상담·법률·활동 지원을 제공한다. 이러한 체계는 청소년 문제를 단일 기관이 해결하기보다 학교, 경찰, 의료기관, 복지기관, 고용기관 등이 연계하도록 설계되어 있다.</w:t>
      </w:r>
    </w:p>
    <w:p>
      <w:pPr>
        <w:pStyle w:val="Heading2"/>
        <w:keepNext/>
      </w:pPr>
      <w:r>
        <w:t>2. 문제점: 가정 밖 청소년 자립지원의 지역격차와 단절</w:t>
      </w:r>
    </w:p>
    <w:p>
      <w:pPr>
        <w:spacing w:line="372" w:lineRule="auto" w:after="160"/>
        <w:ind w:firstLine="403"/>
        <w:jc w:val="both"/>
      </w:pPr>
      <w:r>
        <w:rPr>
          <w:rFonts w:ascii="맑은 고딕" w:hAnsi="맑은 고딕" w:eastAsia="맑은 고딕"/>
          <w:b w:val="0"/>
          <w:color w:val="000000"/>
          <w:sz w:val="21"/>
        </w:rPr>
        <w:t>가정 밖 청소년은 가정폭력, 방임, 빈곤, 가족갈등 등으로 집을 떠난 이후 쉼터에서 보호받을 수 있다. 그러나 일정 연령이나 이용기간에 도달하여 시설을 퇴소하면 주거비, 생활비, 취업 준비와 정서적 지지를 동시에 해결해야 한다. 충분한 소득과 가족지지가 없는 상태에서 보호가 종료될 경우 불안정 주거, 고용착취, 범죄피해 및 재노숙 위험이 커질 수 있다.</w:t>
      </w:r>
    </w:p>
    <w:p>
      <w:pPr>
        <w:spacing w:line="372" w:lineRule="auto" w:after="160"/>
        <w:ind w:firstLine="403"/>
        <w:jc w:val="both"/>
      </w:pPr>
      <w:r>
        <w:rPr>
          <w:rFonts w:ascii="맑은 고딕" w:hAnsi="맑은 고딕" w:eastAsia="맑은 고딕"/>
          <w:b w:val="0"/>
          <w:color w:val="000000"/>
          <w:sz w:val="21"/>
        </w:rPr>
        <w:t>현행법은 자립지원의 근거와 청소년자립지원관을 두고 있지만 실제 지원의 종류와 수준, 자립정착금 지급, 사후관리 기간 등이 전국적으로 동일하게 보장되는 것은 아니다. 국회 입법자료에서도 가정 밖 청소년에 대한 자립정착금이 일부 지방자치단체에서만 지급되어 지원 강화가 필요하다는 문제가 제기되었다. 같은 위험을 경험한 청소년이라도 거주지역이나 이용시설에 따라 지원이 달라진다면 복지권의 형평성이 훼손된다.</w:t>
      </w:r>
    </w:p>
    <w:p>
      <w:pPr>
        <w:spacing w:line="372" w:lineRule="auto" w:after="160"/>
        <w:ind w:firstLine="403"/>
        <w:jc w:val="both"/>
      </w:pPr>
      <w:r>
        <w:rPr>
          <w:rFonts w:ascii="맑은 고딕" w:hAnsi="맑은 고딕" w:eastAsia="맑은 고딕"/>
          <w:b w:val="0"/>
          <w:color w:val="000000"/>
          <w:sz w:val="21"/>
        </w:rPr>
        <w:t>또한 보호종료 시점에 여러 제도로 담당기관이 바뀌면서 정보와 관계가 단절될 수 있다. 청소년쉼터, 자립지원관, 행정복지센터, 고용센터와 주거지원기관이 각각 별도 기준으로 서비스를 제공하면 청소년이 자신의 상황을 반복해서 설명해야 한다. 지원신청 능력이 부족하거나 기관에 대한 불신이 있는 청소년은 제도에서 이탈할 가능성이 높다.</w:t>
      </w:r>
    </w:p>
    <w:p>
      <w:pPr>
        <w:pStyle w:val="Heading2"/>
        <w:keepNext/>
      </w:pPr>
      <w:r>
        <w:t>3. 현행 규정의 한계</w:t>
      </w:r>
    </w:p>
    <w:p>
      <w:pPr>
        <w:spacing w:line="372" w:lineRule="auto" w:after="160"/>
        <w:ind w:firstLine="403"/>
        <w:jc w:val="both"/>
      </w:pPr>
      <w:r>
        <w:rPr>
          <w:rFonts w:ascii="맑은 고딕" w:hAnsi="맑은 고딕" w:eastAsia="맑은 고딕"/>
          <w:b w:val="0"/>
          <w:color w:val="000000"/>
          <w:sz w:val="21"/>
        </w:rPr>
        <w:t>첫째, 국가가 보장해야 할 최소 자립지원의 항목과 수준이 구체적이지 않다. 법률이 국가와 지방자치단체의 지원 의무를 폭넓게 규정하더라도 예산과 사업지침에 따라 급여가 달라지면 개인이 법률상 권리로 요구하기 어렵다. 둘째, 자립은 취업 여부만으로 판단할 수 없는데도 주거·건강·심리·채무·법률지원이 통합적으로 제공되지 못한다.</w:t>
      </w:r>
    </w:p>
    <w:p>
      <w:pPr>
        <w:spacing w:line="372" w:lineRule="auto" w:after="160"/>
        <w:ind w:firstLine="403"/>
        <w:jc w:val="both"/>
      </w:pPr>
      <w:r>
        <w:rPr>
          <w:rFonts w:ascii="맑은 고딕" w:hAnsi="맑은 고딕" w:eastAsia="맑은 고딕"/>
          <w:b w:val="0"/>
          <w:color w:val="000000"/>
          <w:sz w:val="21"/>
        </w:rPr>
        <w:t>셋째, 시설 퇴소 후 연락이 끊긴 청소년을 추적·지원하는 사후관리 체계가 약하다. 사후관리는 통제나 감시가 아니라 필요할 때 다시 도움을 요청할 수 있는 관계를 유지하는 것이어야 한다. 넷째, 청소년이 정책 결정과 서비스 평가에 참여할 절차가 부족하다. 당사자 의견이 반영되지 않으면 실제 생활에 맞지 않는 획일적인 취업교육이나 단기지원에 머무를 수 있다.</w:t>
      </w:r>
    </w:p>
    <w:p>
      <w:pPr>
        <w:pStyle w:val="Heading2"/>
        <w:keepNext/>
      </w:pPr>
      <w:r>
        <w:t>4. 구체적인 법 개정방안</w:t>
      </w:r>
    </w:p>
    <w:p>
      <w:pPr>
        <w:spacing w:line="372" w:lineRule="auto" w:after="160"/>
        <w:ind w:firstLine="403"/>
        <w:jc w:val="both"/>
      </w:pPr>
      <w:r>
        <w:rPr>
          <w:rFonts w:ascii="맑은 고딕" w:hAnsi="맑은 고딕" w:eastAsia="맑은 고딕"/>
          <w:b w:val="0"/>
          <w:color w:val="000000"/>
          <w:sz w:val="21"/>
        </w:rPr>
        <w:t>첫째, 청소년복지 지원법에 가정 밖 청소년의 자립지원에 관한 국가 최소보장 원칙을 명시해야 한다. 시설 퇴소 또는 보호종료 청소년에게 주거, 생활, 교육·훈련, 취업, 의료·심리상담 및 법률지원을 통합적으로 제공하도록 하고, 자립정착금과 주거비 지원의 최소기준을 국가가 정하도록 규정할 필요가 있다. 지방자치단체는 지역 여건에 따라 지원을 추가할 수 있도록 하되 최소수준 이하로 낮출 수 없게 해야 한다.</w:t>
      </w:r>
    </w:p>
    <w:p>
      <w:pPr>
        <w:spacing w:line="372" w:lineRule="auto" w:after="160"/>
        <w:ind w:firstLine="403"/>
        <w:jc w:val="both"/>
      </w:pPr>
      <w:r>
        <w:rPr>
          <w:rFonts w:ascii="맑은 고딕" w:hAnsi="맑은 고딕" w:eastAsia="맑은 고딕"/>
          <w:b w:val="0"/>
          <w:color w:val="000000"/>
          <w:sz w:val="21"/>
        </w:rPr>
        <w:t>둘째, 퇴소 전 일정 기간부터 개인별 자립지원계획을 수립하고 청소년의 동의를 받아 전담 사례관리자를 지정하도록 해야 한다. 계획에는 주거지, 소득원, 교육·취업 경로, 건강상태, 긴급연락망과 부채문제 등을 포함하고 정기적으로 갱신해야 한다. 셋째, 퇴소 이후에도 안정적인 생활기반이 형성될 때까지 사후관리와 재진입을 보장해야 한다. 연령만으로 일률적으로 종결하기보다 위기수준과 자립준비도를 기준으로 연장지원이 가능하도록 해야 한다.</w:t>
      </w:r>
    </w:p>
    <w:p>
      <w:pPr>
        <w:spacing w:line="372" w:lineRule="auto" w:after="160"/>
        <w:ind w:firstLine="403"/>
        <w:jc w:val="both"/>
      </w:pPr>
      <w:r>
        <w:rPr>
          <w:rFonts w:ascii="맑은 고딕" w:hAnsi="맑은 고딕" w:eastAsia="맑은 고딕"/>
          <w:b w:val="0"/>
          <w:color w:val="000000"/>
          <w:sz w:val="21"/>
        </w:rPr>
        <w:t>넷째, 중앙정부가 지역별 자립지원 실적과 격차를 매년 조사·공표하고 부족 지역에 재정을 차등 지원하도록 해야 한다. 이때 단순 취업률이 아니라 주거 안정, 교육 지속, 건강, 관계망과 재위기 발생 여부를 성과지표로 삼아야 한다. 다섯째, 퇴소 청소년이 지역협의체와 서비스 평가에 참여할 수 있도록 당사자 참여기구의 근거를 마련해야 한다. 개인정보는 최소한으로 공유하고 청소년이 연계 범위와 철회 방법을 알 수 있도록 해야 한다.</w:t>
      </w:r>
    </w:p>
    <w:p>
      <w:pPr>
        <w:pStyle w:val="Heading2"/>
        <w:keepNext/>
      </w:pPr>
      <w:r>
        <w:t>5. 개정에 따른 기대효과와 고려사항</w:t>
      </w:r>
    </w:p>
    <w:p>
      <w:pPr>
        <w:spacing w:line="372" w:lineRule="auto" w:after="160"/>
        <w:ind w:firstLine="403"/>
        <w:jc w:val="both"/>
      </w:pPr>
      <w:r>
        <w:rPr>
          <w:rFonts w:ascii="맑은 고딕" w:hAnsi="맑은 고딕" w:eastAsia="맑은 고딕"/>
          <w:b w:val="0"/>
          <w:color w:val="000000"/>
          <w:sz w:val="21"/>
        </w:rPr>
        <w:t>개정안이 시행되면 거주지역에 따른 지원격차를 줄이고 보호에서 자립으로 이동하는 과정의 공백을 예방할 수 있다. 개인별 계획과 전담 사례관리자는 기관 사이의 단절을 줄이며, 위기 시 서비스에 다시 진입할 수 있는 안전망을 제공한다. 국가 최소기준은 지방자치단체의 책임을 약화하는 것이 아니라 지역별 추가지원의 바닥을 마련한다는 의미가 있다.</w:t>
      </w:r>
    </w:p>
    <w:p>
      <w:pPr>
        <w:spacing w:line="372" w:lineRule="auto" w:after="160"/>
        <w:ind w:firstLine="403"/>
        <w:jc w:val="both"/>
      </w:pPr>
      <w:r>
        <w:rPr>
          <w:rFonts w:ascii="맑은 고딕" w:hAnsi="맑은 고딕" w:eastAsia="맑은 고딕"/>
          <w:b w:val="0"/>
          <w:color w:val="000000"/>
          <w:sz w:val="21"/>
        </w:rPr>
        <w:t>다만 지원을 확대하면서 청소년의 자율성을 침해하지 않도록 주의해야 한다. 사례관리 참여와 정보연계는 충분한 설명과 동의를 바탕으로 해야 하며, 현금지원 사용을 지나치게 통제해서는 안 된다. 또한 법 개정만으로는 효과가 보장되지 않으므로 자립지원관 확충, 전문인력 처우개선, 안정적 재원 마련과 성과평가가 함께 이루어져야 한다.</w:t>
      </w:r>
    </w:p>
    <w:p>
      <w:r>
        <w:br w:type="page"/>
      </w:r>
    </w:p>
    <w:p>
      <w:pPr>
        <w:pStyle w:val="Heading1"/>
        <w:keepNext/>
      </w:pPr>
      <w:r>
        <w:t>Ⅲ. 결론</w:t>
      </w:r>
    </w:p>
    <w:p>
      <w:pPr>
        <w:spacing w:line="372" w:lineRule="auto" w:after="160"/>
        <w:ind w:firstLine="403"/>
        <w:jc w:val="both"/>
      </w:pPr>
      <w:r>
        <w:rPr>
          <w:rFonts w:ascii="맑은 고딕" w:hAnsi="맑은 고딕" w:eastAsia="맑은 고딕"/>
          <w:b w:val="0"/>
          <w:color w:val="000000"/>
          <w:sz w:val="21"/>
        </w:rPr>
        <w:t>청소년복지 지원법은 위기청소년 보호와 자립지원을 위한 중요한 법적 기반이지만, 가정 밖 청소년의 시설 퇴소 후 지원이 지역에 따라 달라지고 서비스가 단절될 수 있다는 한계가 있다. 보호종료 직후는 주거와 생계, 취업, 심리적 적응이 동시에 요구되는 시기이므로 단기적 정보제공만으로는 안정적인 자립을 보장하기 어렵다.</w:t>
      </w:r>
    </w:p>
    <w:p>
      <w:pPr>
        <w:spacing w:line="372" w:lineRule="auto" w:after="160"/>
        <w:ind w:firstLine="403"/>
        <w:jc w:val="both"/>
      </w:pPr>
      <w:r>
        <w:rPr>
          <w:rFonts w:ascii="맑은 고딕" w:hAnsi="맑은 고딕" w:eastAsia="맑은 고딕"/>
          <w:b w:val="0"/>
          <w:color w:val="000000"/>
          <w:sz w:val="21"/>
        </w:rPr>
        <w:t>이에 국가 최소보장 수준의 명문화, 퇴소 전 개인별 자립지원계획과 전담 사례관리, 필요도에 따른 지원연장과 재진입, 지역격차 조사·공표 및 당사자 참여를 법률에 구체화할 필요가 있다. 청소년을 관리대상이 아니라 권리주체로 보고 선택권과 개인정보를 보호하면서 충분한 자립기반을 제공할 때 법의 목적이 실질적으로 달성될 수 있다.</w:t>
      </w:r>
    </w:p>
    <w:p>
      <w:pPr>
        <w:pStyle w:val="Heading1"/>
        <w:keepNext/>
      </w:pPr>
      <w:r>
        <w:t>참고문헌</w:t>
      </w:r>
    </w:p>
    <w:p>
      <w:pPr>
        <w:spacing w:after="100"/>
        <w:ind w:left="403"/>
      </w:pPr>
      <w:r>
        <w:rPr>
          <w:rFonts w:ascii="맑은 고딕" w:hAnsi="맑은 고딕" w:eastAsia="맑은 고딕"/>
          <w:b w:val="0"/>
          <w:color w:val="000000"/>
          <w:sz w:val="19"/>
        </w:rPr>
        <w:t>국가법령정보센터. (2026). 청소년복지 지원법. https://www.law.go.kr</w:t>
      </w:r>
    </w:p>
    <w:p>
      <w:pPr>
        <w:spacing w:after="100"/>
        <w:ind w:left="403"/>
      </w:pPr>
      <w:r>
        <w:rPr>
          <w:rFonts w:ascii="맑은 고딕" w:hAnsi="맑은 고딕" w:eastAsia="맑은 고딕"/>
          <w:b w:val="0"/>
          <w:color w:val="000000"/>
          <w:sz w:val="19"/>
        </w:rPr>
        <w:t>성평등가족부. (2026). 위기청소년 및 가정 밖 청소년 지원사업 안내.</w:t>
      </w:r>
    </w:p>
    <w:p>
      <w:pPr>
        <w:spacing w:after="100"/>
        <w:ind w:left="403"/>
      </w:pPr>
      <w:r>
        <w:rPr>
          <w:rFonts w:ascii="맑은 고딕" w:hAnsi="맑은 고딕" w:eastAsia="맑은 고딕"/>
          <w:b w:val="0"/>
          <w:color w:val="000000"/>
          <w:sz w:val="19"/>
        </w:rPr>
        <w:t>국회입법예고. (2025). 청소년복지 지원법 일부개정법률안 및 검토자료.</w:t>
      </w:r>
    </w:p>
    <w:p>
      <w:pPr>
        <w:spacing w:after="100"/>
        <w:ind w:left="403"/>
      </w:pPr>
      <w:r>
        <w:rPr>
          <w:rFonts w:ascii="맑은 고딕" w:hAnsi="맑은 고딕" w:eastAsia="맑은 고딕"/>
          <w:b w:val="0"/>
          <w:color w:val="000000"/>
          <w:sz w:val="19"/>
        </w:rPr>
        <w:t>김향초. (2015). 청소년복지론. 학지사.</w:t>
      </w:r>
    </w:p>
    <w:p>
      <w:pPr>
        <w:spacing w:after="100"/>
        <w:ind w:left="403"/>
      </w:pPr>
      <w:r>
        <w:rPr>
          <w:rFonts w:ascii="맑은 고딕" w:hAnsi="맑은 고딕" w:eastAsia="맑은 고딕"/>
          <w:b w:val="0"/>
          <w:color w:val="000000"/>
          <w:sz w:val="19"/>
        </w:rPr>
        <w:t>한국청소년정책연구원. (2024). 가정 밖 청소년 자립지원 정책 연구.</w:t>
      </w:r>
    </w:p>
    <w:p>
      <w:r>
        <w:br w:type="page"/>
      </w:r>
    </w:p>
    <w:p>
      <w:pPr>
        <w:spacing w:before="960"/>
        <w:jc w:val="center"/>
      </w:pPr>
      <w:r>
        <w:rPr>
          <w:rFonts w:ascii="맑은 고딕" w:hAnsi="맑은 고딕" w:eastAsia="맑은 고딕"/>
          <w:b/>
          <w:color w:val="1E4064"/>
          <w:sz w:val="40"/>
        </w:rPr>
        <w:t>과제 참고자료 이용 안내</w:t>
      </w:r>
    </w:p>
    <w:p>
      <w:pPr>
        <w:spacing w:before="320" w:line="348" w:lineRule="auto"/>
        <w:jc w:val="center"/>
      </w:pPr>
      <w:r>
        <w:rPr>
          <w:rFonts w:ascii="맑은 고딕" w:hAnsi="맑은 고딕" w:eastAsia="맑은 고딕"/>
          <w:b/>
          <w:color w:val="1E4064"/>
          <w:sz w:val="24"/>
        </w:rPr>
        <w:t>⚠ 주의사항</w:t>
      </w:r>
    </w:p>
    <w:p>
      <w:pPr>
        <w:spacing w:before="140" w:line="348" w:lineRule="auto"/>
        <w:jc w:val="center"/>
      </w:pPr>
      <w:r>
        <w:rPr>
          <w:rFonts w:ascii="맑은 고딕" w:hAnsi="맑은 고딕" w:eastAsia="맑은 고딕"/>
          <w:b w:val="0"/>
          <w:color w:val="000000"/>
          <w:sz w:val="21"/>
        </w:rPr>
        <w:t>본 자료는 학점은행제 과제 참고용 샘플입니다. 그대로 제출할 경우 모사율(표절률)로 인하여 성적 불이익 또는 해당 과목 0점 처리될 수 있으므로 반드시 본인의 언어로 수정·재작성하여 제출하시기 바랍니다.</w:t>
      </w:r>
    </w:p>
    <w:p>
      <w:pPr>
        <w:spacing w:before="320" w:line="348" w:lineRule="auto"/>
        <w:jc w:val="center"/>
      </w:pPr>
      <w:r>
        <w:rPr>
          <w:rFonts w:ascii="맑은 고딕" w:hAnsi="맑은 고딕" w:eastAsia="맑은 고딕"/>
          <w:b/>
          <w:color w:val="1E4064"/>
          <w:sz w:val="24"/>
        </w:rPr>
        <w:t>현재 과제 무료 제작 프로모션 진행 중</w:t>
      </w:r>
    </w:p>
    <w:p>
      <w:pPr>
        <w:spacing w:before="140" w:line="348" w:lineRule="auto"/>
        <w:jc w:val="center"/>
      </w:pPr>
      <w:r>
        <w:rPr>
          <w:rFonts w:ascii="맑은 고딕" w:hAnsi="맑은 고딕" w:eastAsia="맑은 고딕"/>
          <w:b w:val="0"/>
          <w:color w:val="000000"/>
          <w:sz w:val="21"/>
        </w:rPr>
        <w:t>과제 수정이 어렵거나 새로운 과제 제작이 필요한 경우 국민원격교육관리센터에서 1:1로 도와드립니다.</w:t>
      </w:r>
    </w:p>
    <w:p>
      <w:pPr>
        <w:spacing w:before="140" w:line="348" w:lineRule="auto"/>
        <w:jc w:val="center"/>
      </w:pPr>
      <w:r>
        <w:rPr>
          <w:rFonts w:ascii="맑은 고딕" w:hAnsi="맑은 고딕" w:eastAsia="맑은 고딕"/>
          <w:b w:val="0"/>
          <w:color w:val="000000"/>
          <w:sz w:val="21"/>
        </w:rPr>
        <w:t>전화: 050-7878-7044</w:t>
        <w:br/>
        <w:t>카카오톡: @국민원격교육관리센터</w:t>
        <w:br/>
        <w:t>운영시간: 평일 10:00–19:00</w:t>
        <w:br/>
        <w:t>웹사이트: korealms.co.kr</w:t>
      </w:r>
    </w:p>
    <w:sectPr w:rsidR="00FC693F" w:rsidRPr="0006063C" w:rsidSect="00034616">
      <w:headerReference w:type="default" r:id="rId11"/>
      <w:footerReference w:type="default" r:id="rId12"/>
      <w:pgSz w:w="11909" w:h="16834"/>
      <w:pgMar w:top="1123" w:right="1296" w:bottom="1037"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맑은 고딕" w:hAnsi="맑은 고딕" w:eastAsia="맑은 고딕"/>
        <w:b w:val="0"/>
        <w:color w:val="5A5A5A"/>
        <w:sz w:val="16"/>
      </w:rPr>
      <w:t>청소년복지론 |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맑은 고딕" w:hAnsi="맑은 고딕"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60"/>
      <w:outlineLvl w:val="0"/>
    </w:pPr>
    <w:rPr>
      <w:rFonts w:asciiTheme="majorHAnsi" w:eastAsiaTheme="majorEastAsia" w:hAnsiTheme="majorHAnsi" w:cstheme="majorBidi" w:ascii="맑은 고딕" w:hAnsi="맑은 고딕" w:eastAsia="맑은 고딕"/>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20" w:after="120"/>
      <w:outlineLvl w:val="1"/>
    </w:pPr>
    <w:rPr>
      <w:rFonts w:asciiTheme="majorHAnsi" w:eastAsiaTheme="majorEastAsia" w:hAnsiTheme="majorHAnsi" w:cstheme="majorBidi" w:ascii="맑은 고딕" w:hAnsi="맑은 고딕" w:eastAsia="맑은 고딕"/>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open.kakao.com/o/gtks9vNi" TargetMode="External"/><Relationship Id="rId11" Type="http://schemas.openxmlformats.org/officeDocument/2006/relationships/header" Target="header1.xml"/><Relationship Id="rId1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