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500"/>
        <w:jc w:val="center"/>
      </w:pPr>
      <w:r>
        <w:rPr>
          <w:rFonts w:ascii="맑은 고딕" w:hAnsi="맑은 고딕" w:eastAsia="맑은 고딕"/>
          <w:b/>
          <w:color w:val="1E4064"/>
          <w:sz w:val="50"/>
        </w:rPr>
        <w:t>지역사회복지론</w:t>
      </w:r>
    </w:p>
    <w:p>
      <w:pPr>
        <w:jc w:val="center"/>
      </w:pPr>
      <w:r>
        <w:rPr>
          <w:rFonts w:ascii="맑은 고딕" w:hAnsi="맑은 고딕" w:eastAsia="맑은 고딕"/>
          <w:b w:val="0"/>
          <w:color w:val="5A5A5A"/>
          <w:sz w:val="30"/>
        </w:rPr>
        <w:t>과제 보고서</w:t>
      </w:r>
    </w:p>
    <w:p>
      <w:pPr>
        <w:spacing w:before="320"/>
        <w:jc w:val="center"/>
      </w:pPr>
      <w:r>
        <w:rPr>
          <w:rFonts w:ascii="맑은 고딕" w:hAnsi="맑은 고딕" w:eastAsia="맑은 고딕"/>
          <w:b/>
          <w:color w:val="1E4064"/>
          <w:sz w:val="21"/>
        </w:rPr>
        <w:t>과제 주제</w:t>
      </w:r>
    </w:p>
    <w:p>
      <w:pPr>
        <w:spacing w:line="312" w:lineRule="auto"/>
        <w:ind w:left="504" w:right="504"/>
        <w:jc w:val="center"/>
      </w:pPr>
      <w:r>
        <w:rPr>
          <w:rFonts w:ascii="맑은 고딕" w:hAnsi="맑은 고딕" w:eastAsia="맑은 고딕"/>
          <w:b w:val="0"/>
          <w:color w:val="000000"/>
          <w:sz w:val="21"/>
        </w:rPr>
        <w:t>지역사회복지실천 대상자의 강점을 활용한 실천사례의 예를 설명하고 자신의 강점은 무엇인지 서술하시오.</w:t>
      </w:r>
    </w:p>
    <w:p>
      <w:pPr>
        <w:spacing w:before="260"/>
        <w:jc w:val="center"/>
      </w:pPr>
      <w:r>
        <w:rPr>
          <w:rFonts w:ascii="맑은 고딕" w:hAnsi="맑은 고딕" w:eastAsia="맑은 고딕"/>
          <w:b/>
          <w:color w:val="1E4064"/>
          <w:sz w:val="28"/>
        </w:rPr>
        <w:t>목  차</w:t>
      </w:r>
    </w:p>
    <w:p>
      <w:pPr>
        <w:spacing w:after="40"/>
        <w:ind w:left="1584"/>
      </w:pPr>
      <w:r>
        <w:rPr>
          <w:rFonts w:ascii="맑은 고딕" w:hAnsi="맑은 고딕" w:eastAsia="맑은 고딕"/>
          <w:b w:val="0"/>
          <w:color w:val="000000"/>
          <w:sz w:val="19"/>
        </w:rPr>
        <w:t>Ⅰ. 서론</w:t>
      </w:r>
    </w:p>
    <w:p>
      <w:pPr>
        <w:spacing w:after="40"/>
        <w:ind w:left="1584"/>
      </w:pPr>
      <w:r>
        <w:rPr>
          <w:rFonts w:ascii="맑은 고딕" w:hAnsi="맑은 고딕" w:eastAsia="맑은 고딕"/>
          <w:b w:val="0"/>
          <w:color w:val="000000"/>
          <w:sz w:val="19"/>
        </w:rPr>
        <w:t>Ⅱ. 본론</w:t>
      </w:r>
    </w:p>
    <w:p>
      <w:pPr>
        <w:spacing w:after="40"/>
        <w:ind w:left="1584"/>
      </w:pPr>
      <w:r>
        <w:rPr>
          <w:rFonts w:ascii="맑은 고딕" w:hAnsi="맑은 고딕" w:eastAsia="맑은 고딕"/>
          <w:b w:val="0"/>
          <w:color w:val="000000"/>
          <w:sz w:val="19"/>
        </w:rPr>
        <w:t xml:space="preserve">  1. 강점관점의 개념과 기본원칙</w:t>
      </w:r>
    </w:p>
    <w:p>
      <w:pPr>
        <w:spacing w:after="40"/>
        <w:ind w:left="1584"/>
      </w:pPr>
      <w:r>
        <w:rPr>
          <w:rFonts w:ascii="맑은 고딕" w:hAnsi="맑은 고딕" w:eastAsia="맑은 고딕"/>
          <w:b w:val="0"/>
          <w:color w:val="000000"/>
          <w:sz w:val="19"/>
        </w:rPr>
        <w:t xml:space="preserve">  2. 강점 활용 실천사례</w:t>
      </w:r>
    </w:p>
    <w:p>
      <w:pPr>
        <w:spacing w:after="40"/>
        <w:ind w:left="1584"/>
      </w:pPr>
      <w:r>
        <w:rPr>
          <w:rFonts w:ascii="맑은 고딕" w:hAnsi="맑은 고딕" w:eastAsia="맑은 고딕"/>
          <w:b w:val="0"/>
          <w:color w:val="000000"/>
          <w:sz w:val="19"/>
        </w:rPr>
        <w:t xml:space="preserve">  3. 강점 기반 실천과정</w:t>
      </w:r>
    </w:p>
    <w:p>
      <w:pPr>
        <w:spacing w:after="40"/>
        <w:ind w:left="1584"/>
      </w:pPr>
      <w:r>
        <w:rPr>
          <w:rFonts w:ascii="맑은 고딕" w:hAnsi="맑은 고딕" w:eastAsia="맑은 고딕"/>
          <w:b w:val="0"/>
          <w:color w:val="000000"/>
          <w:sz w:val="19"/>
        </w:rPr>
        <w:t xml:space="preserve">  4. 나의 강점과 활용방안</w:t>
      </w:r>
    </w:p>
    <w:p>
      <w:pPr>
        <w:spacing w:after="40"/>
        <w:ind w:left="1584"/>
      </w:pPr>
      <w:r>
        <w:rPr>
          <w:rFonts w:ascii="맑은 고딕" w:hAnsi="맑은 고딕" w:eastAsia="맑은 고딕"/>
          <w:b w:val="0"/>
          <w:color w:val="000000"/>
          <w:sz w:val="19"/>
        </w:rPr>
        <w:t xml:space="preserve">  5. 적용 시 유의점</w:t>
      </w:r>
    </w:p>
    <w:p>
      <w:pPr>
        <w:spacing w:after="40"/>
        <w:ind w:left="1584"/>
      </w:pPr>
      <w:r>
        <w:rPr>
          <w:rFonts w:ascii="맑은 고딕" w:hAnsi="맑은 고딕" w:eastAsia="맑은 고딕"/>
          <w:b w:val="0"/>
          <w:color w:val="000000"/>
          <w:sz w:val="19"/>
        </w:rPr>
        <w:t>Ⅲ. 결론</w:t>
      </w:r>
    </w:p>
    <w:p>
      <w:pPr>
        <w:spacing w:after="40"/>
        <w:ind w:left="1584"/>
      </w:pPr>
      <w:r>
        <w:rPr>
          <w:rFonts w:ascii="맑은 고딕" w:hAnsi="맑은 고딕" w:eastAsia="맑은 고딕"/>
          <w:b w:val="0"/>
          <w:color w:val="000000"/>
          <w:sz w:val="19"/>
        </w:rPr>
        <w:t>참고문헌</w:t>
      </w:r>
    </w:p>
    <w:p>
      <w:pPr>
        <w:spacing w:before="180"/>
      </w:pPr>
      <w:r>
        <w:rPr>
          <w:rFonts w:ascii="맑은 고딕" w:hAnsi="맑은 고딕" w:eastAsia="맑은 고딕"/>
          <w:b w:val="0"/>
          <w:color w:val="000000"/>
          <w:sz w:val="19"/>
        </w:rPr>
        <w:t>제출일:         년      월      일</w:t>
        <w:br/>
        <w:t>제출자: ____________________</w:t>
      </w:r>
    </w:p>
    <w:tbl>
      <w:tblPr>
        <w:tblW w:type="auto" w:w="0"/>
        <w:jc w:val="center"/>
        <w:tblLayout w:type="fixed"/>
        <w:tblLook w:firstColumn="1" w:firstRow="1" w:lastColumn="0" w:lastRow="0" w:noHBand="0" w:noVBand="1" w:val="04A0"/>
      </w:tblPr>
      <w:tblGrid>
        <w:gridCol w:w="9317"/>
      </w:tblGrid>
      <w:tr>
        <w:tc>
          <w:tcPr>
            <w:tcW w:type="dxa" w:w="8784"/>
            <w:shd w:fill="FFF4E5"/>
            <w:tcMar>
              <w:top w:w="100" w:type="dxa"/>
              <w:start w:w="160" w:type="dxa"/>
              <w:bottom w:w="100" w:type="dxa"/>
              <w:end w:w="160" w:type="dxa"/>
            </w:tcMar>
          </w:tcPr>
          <w:p>
            <w:pPr>
              <w:jc w:val="center"/>
            </w:pPr>
            <w:r>
              <w:rPr>
                <w:rFonts w:ascii="맑은 고딕" w:hAnsi="맑은 고딕" w:eastAsia="맑은 고딕"/>
                <w:b/>
                <w:color w:val="AA2D2D"/>
                <w:sz w:val="22"/>
              </w:rPr>
              <w:t>현재 과제 무료 제작 프로모션 진행 중</w:t>
            </w:r>
          </w:p>
          <w:p>
            <w:pPr>
              <w:spacing w:after="40"/>
              <w:jc w:val="center"/>
            </w:pPr>
            <w:r>
              <w:drawing>
                <wp:inline xmlns:a="http://schemas.openxmlformats.org/drawingml/2006/main" xmlns:pic="http://schemas.openxmlformats.org/drawingml/2006/picture">
                  <wp:extent cx="749808" cy="749808"/>
                  <wp:docPr id="1" name="Picture 1"/>
                  <wp:cNvGraphicFramePr>
                    <a:graphicFrameLocks noChangeAspect="1"/>
                  </wp:cNvGraphicFramePr>
                  <a:graphic>
                    <a:graphicData uri="http://schemas.openxmlformats.org/drawingml/2006/picture">
                      <pic:pic>
                        <pic:nvPicPr>
                          <pic:cNvPr id="0" name="0ef05abb-b9bb-4a13-b1e7-ca2aa8ae7a60.png"/>
                          <pic:cNvPicPr/>
                        </pic:nvPicPr>
                        <pic:blipFill>
                          <a:blip r:embed="rId9"/>
                          <a:stretch>
                            <a:fillRect/>
                          </a:stretch>
                        </pic:blipFill>
                        <pic:spPr>
                          <a:xfrm>
                            <a:off x="0" y="0"/>
                            <a:ext cx="749808" cy="749808"/>
                          </a:xfrm>
                          <a:prstGeom prst="rect"/>
                        </pic:spPr>
                      </pic:pic>
                    </a:graphicData>
                  </a:graphic>
                </wp:inline>
              </w:drawing>
            </w:r>
          </w:p>
          <w:p>
            <w:pPr>
              <w:spacing w:after="60"/>
              <w:jc w:val="center"/>
            </w:pPr>
            <w:hyperlink r:id="rId10">
              <w:r>
                <w:rPr>
                  <w:color w:val="0563C1"/>
                  <w:u w:val="single"/>
                  <w:rFonts w:ascii="Arial" w:hAnsi="Arial"/>
                  <w:sz w:val="18"/>
                </w:rPr>
                <w:t>https://open.kakao.com/o/gtks9vNi</w:t>
              </w:r>
            </w:hyperlink>
          </w:p>
          <w:p>
            <w:pPr>
              <w:spacing w:line="288" w:lineRule="auto" w:after="40"/>
              <w:jc w:val="center"/>
            </w:pPr>
            <w:r>
              <w:rPr>
                <w:rFonts w:ascii="맑은 고딕" w:hAnsi="맑은 고딕" w:eastAsia="맑은 고딕"/>
                <w:b w:val="0"/>
                <w:color w:val="000000"/>
                <w:sz w:val="17"/>
              </w:rPr>
              <w:t>비밀번호: 1027  국민원격교육관리센터에서 1:1 과제 제작 도움을 드립니다.</w:t>
              <w:br/>
              <w:t>전화 050-7878-7044  |  카카오톡 @국민원격교육관리센터</w:t>
            </w:r>
          </w:p>
          <w:p>
            <w:pPr>
              <w:spacing w:before="60"/>
              <w:jc w:val="center"/>
            </w:pPr>
            <w:r>
              <w:rPr>
                <w:rFonts w:ascii="맑은 고딕" w:hAnsi="맑은 고딕" w:eastAsia="맑은 고딕"/>
                <w:b/>
                <w:color w:val="5A5A5A"/>
                <w:sz w:val="16"/>
              </w:rPr>
              <w:t>※ 본 자료는 참고용 샘플이며 그대로 제출하지 마세요.</w:t>
            </w:r>
          </w:p>
        </w:tc>
      </w:tr>
    </w:tbl>
    <w:p>
      <w:r>
        <w:br w:type="page"/>
      </w:r>
    </w:p>
    <w:p>
      <w:pPr>
        <w:pStyle w:val="Heading1"/>
        <w:keepNext/>
      </w:pPr>
      <w:r>
        <w:t>Ⅰ. 서론</w:t>
      </w:r>
    </w:p>
    <w:p>
      <w:pPr>
        <w:spacing w:line="372" w:lineRule="auto" w:after="160"/>
        <w:ind w:firstLine="403"/>
        <w:jc w:val="both"/>
      </w:pPr>
      <w:r>
        <w:rPr>
          <w:rFonts w:ascii="맑은 고딕" w:hAnsi="맑은 고딕" w:eastAsia="맑은 고딕"/>
          <w:b w:val="0"/>
          <w:color w:val="000000"/>
          <w:sz w:val="21"/>
        </w:rPr>
        <w:t>지역사회복지실천은 지역주민이 경험하는 문제를 개인의 결함으로만 해석하지 않고, 주민과 지역사회가 보유한 자원과 역량을 발견하여 문제해결 과정에 참여하도록 돕는 실천이다. 전통적인 결핍 중심 접근은 대상자의 문제와 부족한 점을 진단하고 전문가가 필요한 서비스를 제공하는 데 초점을 두었다. 반면 강점관점은 개인과 가족, 주민조직, 지역기관이 이미 가지고 있는 능력과 성공경험을 변화의 출발점으로 본다.</w:t>
      </w:r>
    </w:p>
    <w:p>
      <w:pPr>
        <w:spacing w:line="372" w:lineRule="auto" w:after="160"/>
        <w:ind w:firstLine="403"/>
        <w:jc w:val="both"/>
      </w:pPr>
      <w:r>
        <w:rPr>
          <w:rFonts w:ascii="맑은 고딕" w:hAnsi="맑은 고딕" w:eastAsia="맑은 고딕"/>
          <w:b w:val="0"/>
          <w:color w:val="000000"/>
          <w:sz w:val="21"/>
        </w:rPr>
        <w:t>본 과제에서는 강점관점의 개념과 원칙을 정리하고, 지역사회복지실천 대상자의 강점을 활용한 실천사례를 제시한다. 이어 실천과정에서 사회복지사가 수행해야 할 역할을 살펴보고, 필자가 가진 강점과 이를 지역사회복지실천에 활용하는 방법을 서술하고자 한다.</w:t>
      </w:r>
    </w:p>
    <w:p>
      <w:pPr>
        <w:pStyle w:val="Heading1"/>
        <w:keepNext/>
      </w:pPr>
      <w:r>
        <w:t>Ⅱ. 본론</w:t>
      </w:r>
    </w:p>
    <w:p>
      <w:pPr>
        <w:pStyle w:val="Heading2"/>
        <w:keepNext/>
      </w:pPr>
      <w:r>
        <w:t>1. 강점관점의 개념과 기본원칙</w:t>
      </w:r>
    </w:p>
    <w:p>
      <w:pPr>
        <w:spacing w:line="372" w:lineRule="auto" w:after="160"/>
        <w:ind w:firstLine="403"/>
        <w:jc w:val="both"/>
      </w:pPr>
      <w:r>
        <w:rPr>
          <w:rFonts w:ascii="맑은 고딕" w:hAnsi="맑은 고딕" w:eastAsia="맑은 고딕"/>
          <w:b w:val="0"/>
          <w:color w:val="000000"/>
          <w:sz w:val="21"/>
        </w:rPr>
        <w:t>강점관점은 모든 개인과 가족, 집단 및 지역사회가 변화에 활용할 수 있는 능력과 자원을 가지고 있다고 전제한다. 어려움이나 질병이 존재하더라도 그것이 한 사람의 정체성 전체를 규정하지 않으며, 역경을 견뎌 온 경험 자체가 회복탄력성과 문제해결능력의 증거가 될 수 있다고 본다. 따라서 사회복지사는 대상자를 서비스의 수동적 수혜자가 아니라 목표를 결정하고 변화를 만들어 가는 협력자로 존중해야 한다.</w:t>
      </w:r>
    </w:p>
    <w:p>
      <w:pPr>
        <w:spacing w:line="372" w:lineRule="auto" w:after="160"/>
        <w:ind w:firstLine="403"/>
        <w:jc w:val="both"/>
      </w:pPr>
      <w:r>
        <w:rPr>
          <w:rFonts w:ascii="맑은 고딕" w:hAnsi="맑은 고딕" w:eastAsia="맑은 고딕"/>
          <w:b w:val="0"/>
          <w:color w:val="000000"/>
          <w:sz w:val="21"/>
        </w:rPr>
        <w:t>주요 원칙은 대상자의 가능성을 신뢰하는 것, 문제보다 희망과 목표를 구체화하는 것, 자연적 지지망과 지역자원을 적극적으로 발견하는 것, 작은 성공을 축적하는 것, 전문가와 주민 사이의 권력관계를 줄이는 것이다. 강점사정에서는 “무엇이 문제인가”뿐 아니라 “어려운 상황에서도 유지해 온 것은 무엇인가”, “과거에 비슷한 문제를 어떻게 해결했는가”, “도움을 요청할 수 있는 사람과 기관은 누구인가”를 질문한다.</w:t>
      </w:r>
    </w:p>
    <w:p>
      <w:pPr>
        <w:pStyle w:val="Heading2"/>
        <w:keepNext/>
      </w:pPr>
      <w:r>
        <w:t>2. 강점 활용 실천사례: 고립된 중장년 1인가구</w:t>
      </w:r>
    </w:p>
    <w:p>
      <w:pPr>
        <w:spacing w:line="372" w:lineRule="auto" w:after="160"/>
        <w:ind w:firstLine="403"/>
        <w:jc w:val="both"/>
      </w:pPr>
      <w:r>
        <w:rPr>
          <w:rFonts w:ascii="맑은 고딕" w:hAnsi="맑은 고딕" w:eastAsia="맑은 고딕"/>
          <w:b w:val="0"/>
          <w:color w:val="000000"/>
          <w:sz w:val="21"/>
        </w:rPr>
        <w:t>가상의 사례로 지역사회에 거주하는 52세 중장년 남성 A씨를 들 수 있다. A씨는 실직 이후 월세가 연체되고 대인관계가 단절되어 행정복지센터에 의뢰되었다. 결핍 중심으로 접근하면 실직, 채무, 우울, 사회적 고립이 주요 문제로 제시될 수 있다. 그러나 초기면접에서 A씨가 15년간 음식점 주방에서 성실하게 일했고 간단한 조리와 식재료 관리에 능숙하며, 과거 이웃의 반찬을 만들어 준 경험에서 보람을 느꼈다는 강점을 확인하였다.</w:t>
      </w:r>
    </w:p>
    <w:p>
      <w:pPr>
        <w:spacing w:line="372" w:lineRule="auto" w:after="160"/>
        <w:ind w:firstLine="403"/>
        <w:jc w:val="both"/>
      </w:pPr>
      <w:r>
        <w:rPr>
          <w:rFonts w:ascii="맑은 고딕" w:hAnsi="맑은 고딕" w:eastAsia="맑은 고딕"/>
          <w:b w:val="0"/>
          <w:color w:val="000000"/>
          <w:sz w:val="21"/>
        </w:rPr>
        <w:t>사회복지사는 A씨와 협의하여 단기목표를 월세 위기 해결과 생활리듬 회복으로 정하고 긴급복지 및 채무상담을 연계하였다. 동시에 지역종합사회복지관의 공유부엌 프로그램과 연결하여 주 1회 식사모임의 조리보조 역할을 제안하였다. A씨는 처음에는 프로그램 참여를 부담스러워했지만 자신이 잘하는 조리기술을 활용할 수 있다는 점에서 참여를 선택하였다. 이후 주민들의 긍정적 피드백을 받으면서 출석이 안정되었고, 사회복지사는 지역 자활센터의 외식사업단과 직업상담을 연계하였다.</w:t>
      </w:r>
    </w:p>
    <w:p>
      <w:pPr>
        <w:spacing w:line="372" w:lineRule="auto" w:after="160"/>
        <w:ind w:firstLine="403"/>
        <w:jc w:val="both"/>
      </w:pPr>
      <w:r>
        <w:rPr>
          <w:rFonts w:ascii="맑은 고딕" w:hAnsi="맑은 고딕" w:eastAsia="맑은 고딕"/>
          <w:b w:val="0"/>
          <w:color w:val="000000"/>
          <w:sz w:val="21"/>
        </w:rPr>
        <w:t>이 사례에서 중요한 점은 A씨를 우울과 빈곤의 문제를 가진 사람으로만 보지 않고 직업경험, 책임감, 조리기술, 타인을 도운 경험을 변화자원으로 활용했다는 것이다. 또한 현금지원만 제공한 것이 아니라 복지관, 행정복지센터, 자활센터와 주민모임을 연결하여 개인의 강점이 지역사회 참여로 확장되도록 하였다. 작은 역할의 성공이 자기효능감을 높이고 취업 준비와 관계 회복으로 이어지는 선순환을 형성한 것이다.</w:t>
      </w:r>
    </w:p>
    <w:p>
      <w:pPr>
        <w:pStyle w:val="Heading2"/>
        <w:keepNext/>
      </w:pPr>
      <w:r>
        <w:t>3. 강점 기반 지역사회복지실천의 과정</w:t>
      </w:r>
    </w:p>
    <w:p>
      <w:pPr>
        <w:spacing w:line="372" w:lineRule="auto" w:after="160"/>
        <w:ind w:firstLine="403"/>
        <w:jc w:val="both"/>
      </w:pPr>
      <w:r>
        <w:rPr>
          <w:rFonts w:ascii="맑은 고딕" w:hAnsi="맑은 고딕" w:eastAsia="맑은 고딕"/>
          <w:b w:val="0"/>
          <w:color w:val="000000"/>
          <w:sz w:val="21"/>
        </w:rPr>
        <w:t>첫 단계는 신뢰관계를 형성하고 대상자가 원하는 삶의 모습을 확인하는 것이다. 목표는 기관이 정해 주는 것이 아니라 당사자의 언어로 표현되어야 한다. 둘째, 개인의 재능·경험·가치뿐 아니라 가족, 이웃, 비공식 모임, 공공기관과 민간기관 등 환경적 강점을 함께 지도화한다. 셋째, 강점과 지역자원을 연결한 실행계획을 세우고 달성 가능한 작은 과제부터 시작한다. 넷째, 변화과정을 정기적으로 점검하되 실패를 무능력의 증거가 아니라 계획을 조정하기 위한 정보로 활용한다.</w:t>
      </w:r>
    </w:p>
    <w:p>
      <w:pPr>
        <w:spacing w:line="372" w:lineRule="auto" w:after="160"/>
        <w:ind w:firstLine="403"/>
        <w:jc w:val="both"/>
      </w:pPr>
      <w:r>
        <w:rPr>
          <w:rFonts w:ascii="맑은 고딕" w:hAnsi="맑은 고딕" w:eastAsia="맑은 고딕"/>
          <w:b w:val="0"/>
          <w:color w:val="000000"/>
          <w:sz w:val="21"/>
        </w:rPr>
        <w:t>사회복지사는 이 과정에서 상담자, 자원연계자, 옹호자, 조직가의 역할을 수행한다. 특히 지역사회가 대상자를 낙인찍거나 참여기회를 제한한다면 개인의 적응만 요구해서는 안 되며, 주민인식 개선과 제도변화를 함께 추진해야 한다. 강점관점은 개인 책임론이 아니라 당사자의 능력과 환경적 기회를 동시에 확대하는 접근이어야 한다.</w:t>
      </w:r>
    </w:p>
    <w:p>
      <w:pPr>
        <w:pStyle w:val="Heading2"/>
        <w:keepNext/>
      </w:pPr>
      <w:r>
        <w:t>4. 나의 강점과 실천 활용방안</w:t>
      </w:r>
    </w:p>
    <w:p>
      <w:pPr>
        <w:spacing w:line="372" w:lineRule="auto" w:after="160"/>
        <w:ind w:firstLine="403"/>
        <w:jc w:val="both"/>
      </w:pPr>
      <w:r>
        <w:rPr>
          <w:rFonts w:ascii="맑은 고딕" w:hAnsi="맑은 고딕" w:eastAsia="맑은 고딕"/>
          <w:b w:val="0"/>
          <w:color w:val="000000"/>
          <w:sz w:val="21"/>
        </w:rPr>
        <w:t>나의 첫 번째 강점은 복잡한 정보를 구조화하여 상대방이 이해하기 쉽게 설명하는 능력이다. 사회복지 현장에서는 복지제도와 신청절차가 복잡하여 대상자가 필요한 권리를 포기하는 경우가 있다. 나는 대상자의 상황을 먼저 듣고 필요한 정보를 단계별로 정리하여 설명함으로써 서비스 접근성을 높일 수 있다. 또한 상담 내용을 기록하고 기관별 역할을 정리하여 사례회의에서 정보가 누락되지 않도록 기여할 수 있다.</w:t>
      </w:r>
    </w:p>
    <w:p>
      <w:pPr>
        <w:spacing w:line="372" w:lineRule="auto" w:after="160"/>
        <w:ind w:firstLine="403"/>
        <w:jc w:val="both"/>
      </w:pPr>
      <w:r>
        <w:rPr>
          <w:rFonts w:ascii="맑은 고딕" w:hAnsi="맑은 고딕" w:eastAsia="맑은 고딕"/>
          <w:b w:val="0"/>
          <w:color w:val="000000"/>
          <w:sz w:val="21"/>
        </w:rPr>
        <w:t>두 번째 강점은 책임감과 지속적인 확인 습관이다. 사례관리는 한 번의 서비스 연계로 끝나지 않고 실제 이용 여부와 변화상태를 점검해야 한다. 나는 약속한 일정을 기록하고 후속 결과를 확인하는 방식으로 대상자가 전달체계 사이에서 방치되지 않도록 도울 수 있다. 세 번째 강점은 상대방의 입장을 고려하면서도 현실적인 대안을 찾는 능력이다. 주민과 기관의 의견이 충돌할 때 각자의 요구를 구분하고 공통목표를 찾아 협력안을 제시할 수 있다.</w:t>
      </w:r>
    </w:p>
    <w:p>
      <w:pPr>
        <w:spacing w:line="372" w:lineRule="auto" w:after="160"/>
        <w:ind w:firstLine="403"/>
        <w:jc w:val="both"/>
      </w:pPr>
      <w:r>
        <w:rPr>
          <w:rFonts w:ascii="맑은 고딕" w:hAnsi="맑은 고딕" w:eastAsia="맑은 고딕"/>
          <w:b w:val="0"/>
          <w:color w:val="000000"/>
          <w:sz w:val="21"/>
        </w:rPr>
        <w:t>다만 책임감이 지나치면 모든 문제를 혼자 해결하려 하거나 대상자의 자기결정권을 침해할 수 있다. 따라서 역할과 한계를 명확히 하고 슈퍼비전과 팀 협력을 활용해야 한다. 나의 강점은 사회복지사의 전문성을 대신하는 것이 아니라 당사자와 지역사회의 역량이 드러나도록 촉진하는 수단으로 사용되어야 한다.</w:t>
      </w:r>
    </w:p>
    <w:p>
      <w:pPr>
        <w:pStyle w:val="Heading2"/>
        <w:keepNext/>
      </w:pPr>
      <w:r>
        <w:t>5. 강점관점 적용 시 유의점</w:t>
      </w:r>
    </w:p>
    <w:p>
      <w:pPr>
        <w:spacing w:line="372" w:lineRule="auto" w:after="160"/>
        <w:ind w:firstLine="403"/>
        <w:jc w:val="both"/>
      </w:pPr>
      <w:r>
        <w:rPr>
          <w:rFonts w:ascii="맑은 고딕" w:hAnsi="맑은 고딕" w:eastAsia="맑은 고딕"/>
          <w:b w:val="0"/>
          <w:color w:val="000000"/>
          <w:sz w:val="21"/>
        </w:rPr>
        <w:t>강점을 강조한다는 이유로 구조적 빈곤이나 차별, 서비스 부족을 개인의 긍정적 태도로 극복하도록 요구해서는 안 된다. 대상자의 강점을 발견하더라도 생계, 주거, 의료와 같은 기본적 권리가 먼저 보장되지 않으면 참여와 자립을 지속하기 어렵다. 따라서 공적급여와 권리옹호를 충실히 제공하면서 강점 기반 참여기회를 함께 마련해야 한다.</w:t>
      </w:r>
    </w:p>
    <w:p>
      <w:pPr>
        <w:spacing w:line="372" w:lineRule="auto" w:after="160"/>
        <w:ind w:firstLine="403"/>
        <w:jc w:val="both"/>
      </w:pPr>
      <w:r>
        <w:rPr>
          <w:rFonts w:ascii="맑은 고딕" w:hAnsi="맑은 고딕" w:eastAsia="맑은 고딕"/>
          <w:b w:val="0"/>
          <w:color w:val="000000"/>
          <w:sz w:val="21"/>
        </w:rPr>
        <w:t>또한 사회복지사가 판단한 강점을 일방적으로 부여해서는 안 된다. 당사자가 원하지 않는 역할은 부담과 실패경험을 만들 수 있으므로 강점의 의미와 활용방식을 함께 결정해야 한다. 개인정보와 관계망 활용에 대해서도 동의를 받고, 지역자원 연계가 낙인이나 사생활 침해로 이어지지 않도록 주의해야 한다.</w:t>
      </w:r>
    </w:p>
    <w:p>
      <w:r>
        <w:br w:type="page"/>
      </w:r>
    </w:p>
    <w:p>
      <w:pPr>
        <w:pStyle w:val="Heading1"/>
        <w:keepNext/>
      </w:pPr>
      <w:r>
        <w:t>Ⅲ. 결론</w:t>
      </w:r>
    </w:p>
    <w:p>
      <w:pPr>
        <w:spacing w:line="372" w:lineRule="auto" w:after="160"/>
        <w:ind w:firstLine="403"/>
        <w:jc w:val="both"/>
      </w:pPr>
      <w:r>
        <w:rPr>
          <w:rFonts w:ascii="맑은 고딕" w:hAnsi="맑은 고딕" w:eastAsia="맑은 고딕"/>
          <w:b w:val="0"/>
          <w:color w:val="000000"/>
          <w:sz w:val="21"/>
        </w:rPr>
        <w:t>강점관점은 지역사회복지실천 대상자를 문제의 집합이 아니라 경험과 역량, 관계와 가능성을 가진 주체로 바라보는 접근이다. 고립된 중장년 1인가구 사례에서 조리경험과 책임감이라는 개인적 강점을 공유부엌, 복지관, 자활센터라는 지역자원과 연결함으로써 관계 회복과 취업 준비를 동시에 지원할 수 있었다.</w:t>
      </w:r>
    </w:p>
    <w:p>
      <w:pPr>
        <w:spacing w:line="372" w:lineRule="auto" w:after="160"/>
        <w:ind w:firstLine="403"/>
        <w:jc w:val="both"/>
      </w:pPr>
      <w:r>
        <w:rPr>
          <w:rFonts w:ascii="맑은 고딕" w:hAnsi="맑은 고딕" w:eastAsia="맑은 고딕"/>
          <w:b w:val="0"/>
          <w:color w:val="000000"/>
          <w:sz w:val="21"/>
        </w:rPr>
        <w:t>나의 강점인 정보 구조화 능력, 책임감, 조정 능력은 대상자의 권리 접근을 돕고 여러 기관의 협력을 유지하는 데 활용될 수 있다. 다만 강점관점은 구조적 문제를 가리거나 자립을 강요하는 방식이 되어서는 안 된다. 기본적 권리를 보장하고 당사자의 선택을 존중하면서 개인과 지역사회의 강점을 연결할 때 지속가능한 변화가 가능하다.</w:t>
      </w:r>
    </w:p>
    <w:p>
      <w:pPr>
        <w:pStyle w:val="Heading1"/>
        <w:keepNext/>
      </w:pPr>
      <w:r>
        <w:t>참고문헌</w:t>
      </w:r>
    </w:p>
    <w:p>
      <w:pPr>
        <w:spacing w:after="100"/>
        <w:ind w:left="403"/>
      </w:pPr>
      <w:r>
        <w:rPr>
          <w:rFonts w:ascii="맑은 고딕" w:hAnsi="맑은 고딕" w:eastAsia="맑은 고딕"/>
          <w:b w:val="0"/>
          <w:color w:val="000000"/>
          <w:sz w:val="19"/>
        </w:rPr>
        <w:t>Saleebey, D. (Ed.). (2013). The strengths perspective in social work practice (6th ed.). Pearson.</w:t>
      </w:r>
    </w:p>
    <w:p>
      <w:pPr>
        <w:spacing w:after="100"/>
        <w:ind w:left="403"/>
      </w:pPr>
      <w:r>
        <w:rPr>
          <w:rFonts w:ascii="맑은 고딕" w:hAnsi="맑은 고딕" w:eastAsia="맑은 고딕"/>
          <w:b w:val="0"/>
          <w:color w:val="000000"/>
          <w:sz w:val="19"/>
        </w:rPr>
        <w:t>이영철. (2003). 지역사회복지실천론. 양서원.</w:t>
      </w:r>
    </w:p>
    <w:p>
      <w:pPr>
        <w:spacing w:after="100"/>
        <w:ind w:left="403"/>
      </w:pPr>
      <w:r>
        <w:rPr>
          <w:rFonts w:ascii="맑은 고딕" w:hAnsi="맑은 고딕" w:eastAsia="맑은 고딕"/>
          <w:b w:val="0"/>
          <w:color w:val="000000"/>
          <w:sz w:val="19"/>
        </w:rPr>
        <w:t>최옥채. (2016). 지역사회복지론. 양서원.</w:t>
      </w:r>
    </w:p>
    <w:p>
      <w:pPr>
        <w:spacing w:after="100"/>
        <w:ind w:left="403"/>
      </w:pPr>
      <w:r>
        <w:rPr>
          <w:rFonts w:ascii="맑은 고딕" w:hAnsi="맑은 고딕" w:eastAsia="맑은 고딕"/>
          <w:b w:val="0"/>
          <w:color w:val="000000"/>
          <w:sz w:val="19"/>
        </w:rPr>
        <w:t>한국사회복지교육협의회. (2021). 지역사회복지론. 신정.</w:t>
      </w:r>
    </w:p>
    <w:p>
      <w:r>
        <w:br w:type="page"/>
      </w:r>
    </w:p>
    <w:p>
      <w:pPr>
        <w:spacing w:before="960"/>
        <w:jc w:val="center"/>
      </w:pPr>
      <w:r>
        <w:rPr>
          <w:rFonts w:ascii="맑은 고딕" w:hAnsi="맑은 고딕" w:eastAsia="맑은 고딕"/>
          <w:b/>
          <w:color w:val="1E4064"/>
          <w:sz w:val="40"/>
        </w:rPr>
        <w:t>과제 참고자료 이용 안내</w:t>
      </w:r>
    </w:p>
    <w:p>
      <w:pPr>
        <w:spacing w:before="320" w:line="348" w:lineRule="auto"/>
        <w:jc w:val="center"/>
      </w:pPr>
      <w:r>
        <w:rPr>
          <w:rFonts w:ascii="맑은 고딕" w:hAnsi="맑은 고딕" w:eastAsia="맑은 고딕"/>
          <w:b/>
          <w:color w:val="1E4064"/>
          <w:sz w:val="24"/>
        </w:rPr>
        <w:t>⚠ 주의사항</w:t>
      </w:r>
    </w:p>
    <w:p>
      <w:pPr>
        <w:spacing w:before="140" w:line="348" w:lineRule="auto"/>
        <w:jc w:val="center"/>
      </w:pPr>
      <w:r>
        <w:rPr>
          <w:rFonts w:ascii="맑은 고딕" w:hAnsi="맑은 고딕" w:eastAsia="맑은 고딕"/>
          <w:b w:val="0"/>
          <w:color w:val="000000"/>
          <w:sz w:val="21"/>
        </w:rPr>
        <w:t>본 자료는 학점은행제 과제 참고용 샘플입니다. 그대로 제출할 경우 모사율(표절률)로 인하여 성적 불이익 또는 해당 과목 0점 처리될 수 있으므로 반드시 본인의 언어로 수정·재작성하여 제출하시기 바랍니다.</w:t>
      </w:r>
    </w:p>
    <w:p>
      <w:pPr>
        <w:spacing w:before="320" w:line="348" w:lineRule="auto"/>
        <w:jc w:val="center"/>
      </w:pPr>
      <w:r>
        <w:rPr>
          <w:rFonts w:ascii="맑은 고딕" w:hAnsi="맑은 고딕" w:eastAsia="맑은 고딕"/>
          <w:b/>
          <w:color w:val="1E4064"/>
          <w:sz w:val="24"/>
        </w:rPr>
        <w:t>현재 과제 무료 제작 프로모션 진행 중</w:t>
      </w:r>
    </w:p>
    <w:p>
      <w:pPr>
        <w:spacing w:before="140" w:line="348" w:lineRule="auto"/>
        <w:jc w:val="center"/>
      </w:pPr>
      <w:r>
        <w:rPr>
          <w:rFonts w:ascii="맑은 고딕" w:hAnsi="맑은 고딕" w:eastAsia="맑은 고딕"/>
          <w:b w:val="0"/>
          <w:color w:val="000000"/>
          <w:sz w:val="21"/>
        </w:rPr>
        <w:t>과제 수정이 어렵거나 새로운 과제 제작이 필요한 경우 국민원격교육관리센터에서 1:1로 도와드립니다.</w:t>
      </w:r>
    </w:p>
    <w:p>
      <w:pPr>
        <w:spacing w:before="140" w:line="348" w:lineRule="auto"/>
        <w:jc w:val="center"/>
      </w:pPr>
      <w:r>
        <w:rPr>
          <w:rFonts w:ascii="맑은 고딕" w:hAnsi="맑은 고딕" w:eastAsia="맑은 고딕"/>
          <w:b w:val="0"/>
          <w:color w:val="000000"/>
          <w:sz w:val="21"/>
        </w:rPr>
        <w:t>전화: 050-7878-7044</w:t>
        <w:br/>
        <w:t>카카오톡: @국민원격교육관리센터</w:t>
        <w:br/>
        <w:t>운영시간: 평일 10:00–19:00</w:t>
        <w:br/>
        <w:t>웹사이트: korealms.co.kr</w:t>
      </w:r>
    </w:p>
    <w:sectPr w:rsidR="00FC693F" w:rsidRPr="0006063C" w:rsidSect="00034616">
      <w:headerReference w:type="default" r:id="rId11"/>
      <w:footerReference w:type="default" r:id="rId12"/>
      <w:pgSz w:w="11909" w:h="16834"/>
      <w:pgMar w:top="1123" w:right="1296" w:bottom="1037"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맑은 고딕" w:hAnsi="맑은 고딕" w:eastAsia="맑은 고딕"/>
        <w:b w:val="0"/>
        <w:color w:val="5A5A5A"/>
        <w:sz w:val="16"/>
      </w:rPr>
      <w:t>지역사회복지론 | 과제 참고용 샘플</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맑은 고딕" w:hAnsi="맑은 고딕" w:eastAsia="맑은 고딕"/>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60"/>
      <w:outlineLvl w:val="0"/>
    </w:pPr>
    <w:rPr>
      <w:rFonts w:asciiTheme="majorHAnsi" w:eastAsiaTheme="majorEastAsia" w:hAnsiTheme="majorHAnsi" w:cstheme="majorBidi" w:ascii="맑은 고딕" w:hAnsi="맑은 고딕" w:eastAsia="맑은 고딕"/>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20" w:after="120"/>
      <w:outlineLvl w:val="1"/>
    </w:pPr>
    <w:rPr>
      <w:rFonts w:asciiTheme="majorHAnsi" w:eastAsiaTheme="majorEastAsia" w:hAnsiTheme="majorHAnsi" w:cstheme="majorBidi" w:ascii="맑은 고딕" w:hAnsi="맑은 고딕" w:eastAsia="맑은 고딕"/>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hyperlink" Target="https://open.kakao.com/o/gtks9vNi" TargetMode="External"/><Relationship Id="rId11" Type="http://schemas.openxmlformats.org/officeDocument/2006/relationships/header" Target="header1.xml"/><Relationship Id="rId1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