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700"/>
        <w:jc w:val="center"/>
      </w:pPr>
      <w:r>
        <w:rPr>
          <w:b/>
          <w:sz w:val="50"/>
        </w:rPr>
        <w:t>국 제 경 영</w:t>
      </w:r>
    </w:p>
    <w:p>
      <w:pPr>
        <w:spacing w:before="700"/>
        <w:jc w:val="center"/>
      </w:pPr>
      <w:r>
        <w:rPr>
          <w:b/>
          <w:sz w:val="36"/>
        </w:rPr>
        <w:t>정치적 위험의 개념·원인·유형·관리방안을 설명하고</w:t>
        <w:br/>
        <w:t>국가위험과 비교</w:t>
      </w:r>
    </w:p>
    <w:p/>
    <w:tbl>
      <w:tblPr>
        <w:tblStyle w:val="TableGrid"/>
        <w:tblW w:type="auto" w:w="0"/>
        <w:jc w:val="center"/>
        <w:tblLook w:firstColumn="1" w:firstRow="1" w:lastColumn="0" w:lastRow="0" w:noHBand="0" w:noVBand="1" w:val="04A0"/>
      </w:tblPr>
      <w:tblGrid>
        <w:gridCol w:w="4816"/>
        <w:gridCol w:w="4816"/>
      </w:tblGrid>
      <w:tr>
        <w:tc>
          <w:tcPr>
            <w:tcW w:type="dxa" w:w="4816"/>
            <w:vAlign w:val="center"/>
          </w:tcPr>
          <w:p>
            <w:r>
              <w:rPr>
                <w:rFonts w:ascii="Malgun Gothic" w:hAnsi="Malgun Gothic" w:eastAsia="맑은 고딕"/>
                <w:sz w:val="21"/>
              </w:rPr>
              <w:t>과목명</w:t>
            </w:r>
          </w:p>
        </w:tc>
        <w:tc>
          <w:tcPr>
            <w:tcW w:type="dxa" w:w="4816"/>
            <w:vAlign w:val="center"/>
          </w:tcPr>
          <w:p>
            <w:r>
              <w:rPr>
                <w:rFonts w:ascii="Malgun Gothic" w:hAnsi="Malgun Gothic" w:eastAsia="맑은 고딕"/>
                <w:sz w:val="21"/>
              </w:rPr>
              <w:t>국제경영</w:t>
            </w:r>
          </w:p>
        </w:tc>
      </w:tr>
      <w:tr>
        <w:tc>
          <w:tcPr>
            <w:tcW w:type="dxa" w:w="4816"/>
            <w:vAlign w:val="center"/>
          </w:tcPr>
          <w:p>
            <w:r>
              <w:rPr>
                <w:rFonts w:ascii="Malgun Gothic" w:hAnsi="Malgun Gothic" w:eastAsia="맑은 고딕"/>
                <w:sz w:val="21"/>
              </w:rPr>
              <w:t>과제 주제</w:t>
            </w:r>
          </w:p>
        </w:tc>
        <w:tc>
          <w:tcPr>
            <w:tcW w:type="dxa" w:w="4816"/>
            <w:vAlign w:val="center"/>
          </w:tcPr>
          <w:p>
            <w:r>
              <w:rPr>
                <w:rFonts w:ascii="Malgun Gothic" w:hAnsi="Malgun Gothic" w:eastAsia="맑은 고딕"/>
                <w:sz w:val="21"/>
              </w:rPr>
              <w:t>정치적 위험의 개념·원인·유형·관리방안을 설명하고 국가위험과 비교</w:t>
            </w:r>
          </w:p>
        </w:tc>
      </w:tr>
    </w:tbl>
    <w:p/>
    <w:p>
      <w:pPr>
        <w:jc w:val="center"/>
      </w:pPr>
      <w:r>
        <w:rPr>
          <w:b/>
          <w:sz w:val="28"/>
        </w:rPr>
        <w:t>목 차</w:t>
      </w:r>
    </w:p>
    <w:p>
      <w:pPr>
        <w:spacing w:after="40"/>
        <w:ind w:left="1701"/>
      </w:pPr>
      <w:r>
        <w:t>Ⅰ. 서론</w:t>
      </w:r>
    </w:p>
    <w:p>
      <w:pPr>
        <w:spacing w:after="40"/>
        <w:ind w:left="1701"/>
      </w:pPr>
      <w:r>
        <w:t>Ⅱ. 본론</w:t>
      </w:r>
    </w:p>
    <w:p>
      <w:pPr>
        <w:spacing w:after="40"/>
        <w:ind w:left="1701"/>
      </w:pPr>
      <w:r>
        <w:t xml:space="preserve">  1. 정치적 위험의 개념</w:t>
      </w:r>
    </w:p>
    <w:p>
      <w:pPr>
        <w:spacing w:after="40"/>
        <w:ind w:left="1701"/>
      </w:pPr>
      <w:r>
        <w:t xml:space="preserve">  2. 정치적 위험의 발생 원인</w:t>
      </w:r>
    </w:p>
    <w:p>
      <w:pPr>
        <w:spacing w:after="40"/>
        <w:ind w:left="1701"/>
      </w:pPr>
      <w:r>
        <w:t xml:space="preserve">  3. 정치적 위험의 유형</w:t>
      </w:r>
    </w:p>
    <w:p>
      <w:pPr>
        <w:spacing w:after="40"/>
        <w:ind w:left="1701"/>
      </w:pPr>
      <w:r>
        <w:t xml:space="preserve">  4. 정치적 위험의 관리방안</w:t>
      </w:r>
    </w:p>
    <w:p>
      <w:pPr>
        <w:spacing w:after="40"/>
        <w:ind w:left="1701"/>
      </w:pPr>
      <w:r>
        <w:t xml:space="preserve">  5. 정치적 위험과 국가위험의 비교</w:t>
      </w:r>
    </w:p>
    <w:p>
      <w:pPr>
        <w:spacing w:after="40"/>
        <w:ind w:left="1701"/>
      </w:pPr>
      <w:r>
        <w:t>Ⅲ. 결론</w:t>
      </w:r>
    </w:p>
    <w:p>
      <w:pPr>
        <w:spacing w:after="40"/>
        <w:ind w:left="1701"/>
      </w:pPr>
      <w:r>
        <w:t>Ⅳ. 참고문헌</w:t>
      </w:r>
    </w:p>
    <w:p/>
    <w:p>
      <w:pPr>
        <w:jc w:val="center"/>
      </w:pPr>
      <w:r>
        <w:t>제출일: ____________________        제출자: ____________________</w:t>
      </w:r>
    </w:p>
    <w:p>
      <w:r>
        <w:br w:type="page"/>
      </w:r>
    </w:p>
    <w:p>
      <w:pPr>
        <w:pStyle w:val="Heading1"/>
      </w:pPr>
      <w:r>
        <w:t>Ⅰ. 서론</w:t>
      </w:r>
    </w:p>
    <w:p>
      <w:pPr>
        <w:ind w:firstLine="397"/>
        <w:jc w:val="both"/>
      </w:pPr>
      <w:r>
        <w:t>기업의 국제화가 확대되면서 기업은 환율, 시장수요, 경쟁구조뿐 아니라 진출국의 정치·제도적 환경에도 직접적인 영향을 받게 되었다. 특히 해외직접투자, 장기 공급계약, 현지 생산시설 운영과 같이 회수기간이 긴 국제경영 활동에서는 정부의 정책 변화나 사회적 갈등이 기업의 자산가치와 영업성과를 크게 변화시킬 수 있다. 이러한 불확실성을 이해하기 위한 대표적 개념이 정치적 위험이다. 정치적 위험은 단순히 정치가 불안정하다는 의미가 아니라, 정치적 사건이나 정부의 결정이 외국기업의 정상적인 경영활동, 소유권, 수익성 및 현금흐름에 부정적 영향을 줄 가능성을 의미한다.</w:t>
      </w:r>
    </w:p>
    <w:p>
      <w:pPr>
        <w:ind w:firstLine="397"/>
        <w:jc w:val="both"/>
      </w:pPr>
      <w:r>
        <w:t>정치적 위험에 대한 체계적 분석은 해외시장 진입 여부를 결정하는 단계에서부터 진입방식 선택, 투자규모 결정, 현지 파트너 선정, 자금조달 및 철수전략 수립에 이르기까지 폭넓게 활용된다. 또한 국제경영에서는 정치적 위험과 함께 국가위험이라는 용어가 사용되는데, 두 개념은 서로 관련되어 있으나 분석 대상과 범위에서 차이가 있다. 본 과제에서는 정치적 위험의 개념과 발생 원인, 주요 유형을 살펴보고 기업이 활용할 수 있는 관리방안을 설명한 후, 정치적 위험과 국가위험을 비교하여 국제경영 의사결정에서 두 개념이 갖는 의미를 고찰하고자 한다.</w:t>
      </w:r>
    </w:p>
    <w:p>
      <w:pPr>
        <w:pStyle w:val="Heading1"/>
      </w:pPr>
      <w:r>
        <w:t>Ⅱ. 본론</w:t>
      </w:r>
    </w:p>
    <w:p>
      <w:pPr>
        <w:pStyle w:val="Heading2"/>
      </w:pPr>
      <w:r>
        <w:t>1. 정치적 위험의 개념</w:t>
      </w:r>
    </w:p>
    <w:p>
      <w:pPr>
        <w:ind w:firstLine="397"/>
        <w:jc w:val="both"/>
      </w:pPr>
      <w:r>
        <w:t>정치적 위험(political risk)은 한 국가의 정치적 사건, 정부 정책, 제도 변화 또는 사회·정치적 갈등으로 인해 기업의 투자자산이나 경영활동이 예상과 다르게 영향을 받을 가능성을 뜻한다. 국제기업의 관점에서는 외국정부가 세율, 외환규제, 노동규정, 수입제한, 현지조달 의무 등을 변경함으로써 기업의 비용구조와 수익성이 악화되는 경우가 대표적이다. 극단적인 상황에서는 국유화나 수용을 통해 기업의 소유권 자체가 침해될 수도 있다.</w:t>
      </w:r>
    </w:p>
    <w:p>
      <w:pPr>
        <w:ind w:firstLine="397"/>
        <w:jc w:val="both"/>
      </w:pPr>
      <w:r>
        <w:t>정치적 위험은 반드시 쿠데타나 전쟁과 같은 급격한 사건에서만 발생하는 것은 아니다. 합법적인 선거를 통해 새 정부가 출범한 뒤 산업정책을 변경하거나, 환경·노동·조세 규제를 강화하여 외국기업의 사업조건을 바꾸는 경우에도 정치적 위험이 발생한다. 따라서 기업은 정치체제의 안정성만 평가할 것이 아니라 정책의 예측가능성, 법치 수준, 계약 집행 가능성, 사회적 갈등, 이해관계자와의 관계까지 종합적으로 검토해야 한다.</w:t>
      </w:r>
    </w:p>
    <w:p>
      <w:pPr>
        <w:pStyle w:val="Heading2"/>
      </w:pPr>
      <w:r>
        <w:t>2. 정치적 위험의 발생 원인</w:t>
      </w:r>
    </w:p>
    <w:p>
      <w:pPr>
        <w:ind w:firstLine="397"/>
        <w:jc w:val="both"/>
      </w:pPr>
      <w:r>
        <w:t>첫째, 정권교체와 정책기조 변화가 중요한 원인이다. 정부가 바뀌면 외국인투자, 조세, 산업보호, 환경, 노동 등에 관한 정책이 달라질 수 있으며, 이전 정부와 체결한 계약이 재검토될 가능성도 있다. 둘째, 경제적 불균형과 사회적 불만 역시 정치적 위험을 높인다. 높은 실업률, 물가상승, 빈부격차, 지역·계층 간 갈등이 심화되면 대규모 시위나 파업으로 이어져 기업의 생산·물류·판매가 중단될 수 있다.</w:t>
      </w:r>
    </w:p>
    <w:p>
      <w:pPr>
        <w:ind w:firstLine="397"/>
        <w:jc w:val="both"/>
      </w:pPr>
      <w:r>
        <w:t>셋째, 자원민족주의와 경제주권 강화도 원인이 된다. 천연자원이나 전략산업의 중요성이 커질수록 정부는 로열티와 세금을 인상하거나 외국기업의 지분을 제한하고 현지기업의 참여를 요구할 수 있다. 넷째, 국제관계 악화와 지정학적 갈등은 제재, 수출통제, 투자제한, 결제망 차단 등으로 연결될 수 있다. 마지막으로 행정의 불투명성, 부패, 사법제도의 취약성은 인허가 지연과 계약집행 불확실성을 높여 기업이 예측하기 어려운 비용을 부담하게 만든다.</w:t>
      </w:r>
    </w:p>
    <w:p>
      <w:pPr>
        <w:pStyle w:val="Heading2"/>
      </w:pPr>
      <w:r>
        <w:t>3. 정치적 위험의 유형</w:t>
      </w:r>
    </w:p>
    <w:p>
      <w:pPr>
        <w:ind w:firstLine="397"/>
        <w:jc w:val="both"/>
      </w:pPr>
      <w:r>
        <w:t>정치적 위험은 여러 기준으로 구분할 수 있다. 먼저 영향 범위에 따라 거시적 위험과 미시적 위험으로 나눌 수 있다. 거시적 정치위험은 외국기업 전반 또는 광범위한 산업에 영향을 미치는 위험으로서 정권붕괴, 전쟁, 전국적 외환통제, 광범위한 국유화 등이 해당한다. 미시적 정치위험은 특정 산업이나 기업을 대상으로 발생하는 위험으로, 특정 광산기업에 대한 계약 재협상이나 특정 플랫폼 기업에 대한 규제 강화 등이 예가 될 수 있다.</w:t>
      </w:r>
    </w:p>
    <w:p>
      <w:pPr>
        <w:ind w:firstLine="397"/>
        <w:jc w:val="both"/>
      </w:pPr>
      <w:r>
        <w:t>또한 기업의 자산과 운영에 미치는 방식에 따라 수용·국유화 위험, 운영위험, 이전위험, 폭력·사회불안 위험 등으로 구분할 수 있다. 수용위험은 정부가 외국기업의 자산을 직접 또는 사실상 박탈하는 위험이다. 운영위험은 세금, 가격통제, 고용규제, 현지조달 의무 등으로 경영의 자유가 제한되는 경우이다. 이전위험은 외환 부족이나 송금규제로 배당금·원리금 등을 본국으로 이전하지 못하는 상황을 의미한다. 폭력·사회불안 위험은 테러, 폭동, 내전, 파업 등이 시설과 인력, 공급망에 손실을 발생시키는 경우를 포함한다.</w:t>
      </w:r>
    </w:p>
    <w:p>
      <w:pPr>
        <w:pStyle w:val="Heading2"/>
      </w:pPr>
      <w:r>
        <w:t>4. 정치적 위험의 관리방안</w:t>
      </w:r>
    </w:p>
    <w:p>
      <w:pPr>
        <w:ind w:firstLine="397"/>
        <w:jc w:val="both"/>
      </w:pPr>
      <w:r>
        <w:t>정치적 위험 관리는 투자 이전의 예방과 투자 이후의 대응으로 나누어 접근할 수 있다. 투자 이전에는 국가와 산업의 정치환경을 조사하고 복수의 시나리오를 설정하여 위험이 기업의 매출, 비용, 현금흐름에 미칠 영향을 추정해야 한다. 진입방식도 중요한 관리수단이다. 위험이 높은 국가에서는 단독투자보다 현지기업과의 합작투자, 라이선싱, 단계적 투자 등을 선택함으로써 초기 노출을 줄일 수 있다. 투자지역과 조달처를 여러 국가로 분산하여 특정 국가의 정책변화가 전체 사업에 미치는 영향을 제한하는 것도 유효하다.</w:t>
      </w:r>
    </w:p>
    <w:p>
      <w:pPr>
        <w:ind w:firstLine="397"/>
        <w:jc w:val="both"/>
      </w:pPr>
      <w:r>
        <w:t>투자 이후에는 현지 이해관계자와의 관계를 안정적으로 형성하는 것이 중요하다. 현지 고용 확대, 기술이전, 지역사회 기여 등은 기업이 해당 국가의 경제·사회에 기여한다는 인식을 높여 정책적 갈등을 완화하는 데 도움이 된다. 동시에 계약서에는 법률 변경, 불가항력, 분쟁해결, 중재 등에 관한 조항을 구체적으로 포함하고, 필요한 경우 정치적 위험보험을 활용하여 수용, 송금제한, 정치적 폭력 등에 따른 손실을 일부 이전할 수 있다. 기업 내부적으로는 조기경보 체계를 구축해 선거, 법안, 시위, 제재, 외환보유액 등 핵심 지표의 변화를 지속적으로 관찰해야 한다.</w:t>
      </w:r>
    </w:p>
    <w:p>
      <w:pPr>
        <w:ind w:firstLine="397"/>
        <w:jc w:val="both"/>
      </w:pPr>
      <w:r>
        <w:t>예를 들어 해외 생산기지를 운영하는 제조기업이 특정 국가에 핵심 부품 조달을 전적으로 의존한다면 정부의 수출제한이나 사회적 혼란이 발생했을 때 글로벌 생산이 중단될 수 있다. 이에 기업은 복수 국가에서 대체 공급처를 확보하고 일정 수준의 안전재고를 유지하며, 현지 공장과 본사의 위기대응 의사결정 절차를 사전에 정해 둘 필요가 있다. 이처럼 정치적 위험 관리는 단순한 보험 가입이 아니라 투자구조, 공급망, 계약, 재무 및 이해관계자 관리를 통합한 전략으로 이해해야 한다.</w:t>
      </w:r>
    </w:p>
    <w:p>
      <w:pPr>
        <w:pStyle w:val="Heading2"/>
      </w:pPr>
      <w:r>
        <w:t>5. 정치적 위험과 국가위험의 비교</w:t>
      </w:r>
    </w:p>
    <w:p>
      <w:pPr>
        <w:ind w:firstLine="397"/>
        <w:jc w:val="both"/>
      </w:pPr>
      <w:r>
        <w:t>정치적 위험과 국가위험(country risk)은 국가 차원의 불확실성을 분석한다는 점에서 밀접하게 연결된다. 그러나 국가위험은 일반적으로 정치적 요인뿐 아니라 경제적·재무적 요인까지 포함하는 더 포괄적인 개념으로 사용된다. 국가의 성장률, 물가, 재정수지, 외환보유액, 대외부채, 환율 변동성, 금융시스템 안정성, 정치·제도 환경 등이 종합적으로 평가 대상이 된다. 특히 국제금융에서는 한 국가의 정부나 민간 차입자가 외화채무를 정상적으로 상환하지 못할 가능성을 평가할 때 국가위험 분석이 중요하다.</w:t>
      </w:r>
    </w:p>
    <w:p>
      <w:pPr>
        <w:ind w:firstLine="397"/>
        <w:jc w:val="both"/>
      </w:pPr>
      <w:r>
        <w:t>반면 정치적 위험은 정부의 정책결정, 정치적 사건, 사회적 갈등과 같이 정치·제도적 요인이 기업에 미치는 영향에 보다 초점을 둔다. 예컨대 외환보유액 부족으로 기업이 해외송금을 하지 못한다면 경제적 원인에서 출발한 국가위험의 성격이 강할 수 있지만, 정부가 정책적으로 외화송금을 금지한다면 정치적 위험과 직접 연결된다. 실제 상황에서는 경제적 위기가 정치적 불안으로 이어지고 다시 규제 강화와 자본통제로 연결될 수 있기 때문에 두 위험은 상호작용한다.</w:t>
      </w:r>
    </w:p>
    <w:tbl>
      <w:tblPr>
        <w:tblStyle w:val="TableGrid"/>
        <w:tblW w:type="auto" w:w="0"/>
        <w:jc w:val="center"/>
        <w:tblLook w:firstColumn="1" w:firstRow="1" w:lastColumn="0" w:lastRow="0" w:noHBand="0" w:noVBand="1" w:val="04A0"/>
      </w:tblPr>
      <w:tblGrid>
        <w:gridCol w:w="2408"/>
        <w:gridCol w:w="2408"/>
        <w:gridCol w:w="2408"/>
        <w:gridCol w:w="2408"/>
      </w:tblGrid>
      <w:tr>
        <w:tc>
          <w:tcPr>
            <w:tcW w:type="dxa" w:w="2408"/>
          </w:tcPr>
          <w:p>
            <w:r>
              <w:rPr>
                <w:rFonts w:ascii="Malgun Gothic" w:hAnsi="Malgun Gothic" w:eastAsia="맑은 고딕"/>
                <w:sz w:val="17"/>
              </w:rPr>
              <w:t>구분</w:t>
            </w:r>
          </w:p>
        </w:tc>
        <w:tc>
          <w:tcPr>
            <w:tcW w:type="dxa" w:w="2408"/>
          </w:tcPr>
          <w:p>
            <w:r>
              <w:rPr>
                <w:rFonts w:ascii="Malgun Gothic" w:hAnsi="Malgun Gothic" w:eastAsia="맑은 고딕"/>
                <w:sz w:val="17"/>
              </w:rPr>
              <w:t>정치적 위험</w:t>
            </w:r>
          </w:p>
        </w:tc>
        <w:tc>
          <w:tcPr>
            <w:tcW w:type="dxa" w:w="2408"/>
          </w:tcPr>
          <w:p>
            <w:r>
              <w:rPr>
                <w:rFonts w:ascii="Malgun Gothic" w:hAnsi="Malgun Gothic" w:eastAsia="맑은 고딕"/>
                <w:sz w:val="17"/>
              </w:rPr>
              <w:t>국가위험</w:t>
            </w:r>
          </w:p>
        </w:tc>
        <w:tc>
          <w:tcPr>
            <w:tcW w:type="dxa" w:w="2408"/>
          </w:tcPr>
          <w:p>
            <w:r>
              <w:rPr>
                <w:rFonts w:ascii="Malgun Gothic" w:hAnsi="Malgun Gothic" w:eastAsia="맑은 고딕"/>
                <w:sz w:val="17"/>
              </w:rPr>
              <w:t>핵심 차이</w:t>
            </w:r>
          </w:p>
        </w:tc>
      </w:tr>
      <w:tr>
        <w:tc>
          <w:tcPr>
            <w:tcW w:type="dxa" w:w="2408"/>
          </w:tcPr>
          <w:p>
            <w:r>
              <w:rPr>
                <w:rFonts w:ascii="Malgun Gothic" w:hAnsi="Malgun Gothic" w:eastAsia="맑은 고딕"/>
                <w:sz w:val="17"/>
              </w:rPr>
              <w:t>범위</w:t>
            </w:r>
          </w:p>
        </w:tc>
        <w:tc>
          <w:tcPr>
            <w:tcW w:type="dxa" w:w="2408"/>
          </w:tcPr>
          <w:p>
            <w:r>
              <w:rPr>
                <w:rFonts w:ascii="Malgun Gothic" w:hAnsi="Malgun Gothic" w:eastAsia="맑은 고딕"/>
                <w:sz w:val="17"/>
              </w:rPr>
              <w:t>정치·정책·사회갈등 중심</w:t>
            </w:r>
          </w:p>
        </w:tc>
        <w:tc>
          <w:tcPr>
            <w:tcW w:type="dxa" w:w="2408"/>
          </w:tcPr>
          <w:p>
            <w:r>
              <w:rPr>
                <w:rFonts w:ascii="Malgun Gothic" w:hAnsi="Malgun Gothic" w:eastAsia="맑은 고딕"/>
                <w:sz w:val="17"/>
              </w:rPr>
              <w:t>정치·경제·금융 요인을 포괄</w:t>
            </w:r>
          </w:p>
        </w:tc>
        <w:tc>
          <w:tcPr>
            <w:tcW w:type="dxa" w:w="2408"/>
          </w:tcPr>
          <w:p>
            <w:r>
              <w:rPr>
                <w:rFonts w:ascii="Malgun Gothic" w:hAnsi="Malgun Gothic" w:eastAsia="맑은 고딕"/>
                <w:sz w:val="17"/>
              </w:rPr>
              <w:t>국가위험의 범위가 더 넓음</w:t>
            </w:r>
          </w:p>
        </w:tc>
      </w:tr>
      <w:tr>
        <w:tc>
          <w:tcPr>
            <w:tcW w:type="dxa" w:w="2408"/>
          </w:tcPr>
          <w:p>
            <w:r>
              <w:rPr>
                <w:rFonts w:ascii="Malgun Gothic" w:hAnsi="Malgun Gothic" w:eastAsia="맑은 고딕"/>
                <w:sz w:val="17"/>
              </w:rPr>
              <w:t>주요 대상</w:t>
            </w:r>
          </w:p>
        </w:tc>
        <w:tc>
          <w:tcPr>
            <w:tcW w:type="dxa" w:w="2408"/>
          </w:tcPr>
          <w:p>
            <w:r>
              <w:rPr>
                <w:rFonts w:ascii="Malgun Gothic" w:hAnsi="Malgun Gothic" w:eastAsia="맑은 고딕"/>
                <w:sz w:val="17"/>
              </w:rPr>
              <w:t>해외투자·기업운영</w:t>
            </w:r>
          </w:p>
        </w:tc>
        <w:tc>
          <w:tcPr>
            <w:tcW w:type="dxa" w:w="2408"/>
          </w:tcPr>
          <w:p>
            <w:r>
              <w:rPr>
                <w:rFonts w:ascii="Malgun Gothic" w:hAnsi="Malgun Gothic" w:eastAsia="맑은 고딕"/>
                <w:sz w:val="17"/>
              </w:rPr>
              <w:t>국가·차입자·투자환경 전반</w:t>
            </w:r>
          </w:p>
        </w:tc>
        <w:tc>
          <w:tcPr>
            <w:tcW w:type="dxa" w:w="2408"/>
          </w:tcPr>
          <w:p>
            <w:r>
              <w:rPr>
                <w:rFonts w:ascii="Malgun Gothic" w:hAnsi="Malgun Gothic" w:eastAsia="맑은 고딕"/>
                <w:sz w:val="17"/>
              </w:rPr>
              <w:t>분석 목적과 대상이 다름</w:t>
            </w:r>
          </w:p>
        </w:tc>
      </w:tr>
      <w:tr>
        <w:tc>
          <w:tcPr>
            <w:tcW w:type="dxa" w:w="2408"/>
          </w:tcPr>
          <w:p>
            <w:r>
              <w:rPr>
                <w:rFonts w:ascii="Malgun Gothic" w:hAnsi="Malgun Gothic" w:eastAsia="맑은 고딕"/>
                <w:sz w:val="17"/>
              </w:rPr>
              <w:t>대표 요인</w:t>
            </w:r>
          </w:p>
        </w:tc>
        <w:tc>
          <w:tcPr>
            <w:tcW w:type="dxa" w:w="2408"/>
          </w:tcPr>
          <w:p>
            <w:r>
              <w:rPr>
                <w:rFonts w:ascii="Malgun Gothic" w:hAnsi="Malgun Gothic" w:eastAsia="맑은 고딕"/>
                <w:sz w:val="17"/>
              </w:rPr>
              <w:t>국유화, 규제, 정권교체, 폭동</w:t>
            </w:r>
          </w:p>
        </w:tc>
        <w:tc>
          <w:tcPr>
            <w:tcW w:type="dxa" w:w="2408"/>
          </w:tcPr>
          <w:p>
            <w:r>
              <w:rPr>
                <w:rFonts w:ascii="Malgun Gothic" w:hAnsi="Malgun Gothic" w:eastAsia="맑은 고딕"/>
                <w:sz w:val="17"/>
              </w:rPr>
              <w:t>대외부채, 외환, 성장률, 재정, 정치안정</w:t>
            </w:r>
          </w:p>
        </w:tc>
        <w:tc>
          <w:tcPr>
            <w:tcW w:type="dxa" w:w="2408"/>
          </w:tcPr>
          <w:p>
            <w:r>
              <w:rPr>
                <w:rFonts w:ascii="Malgun Gothic" w:hAnsi="Malgun Gothic" w:eastAsia="맑은 고딕"/>
                <w:sz w:val="17"/>
              </w:rPr>
              <w:t>정치적 위험은 정치요인에 집중</w:t>
            </w:r>
          </w:p>
        </w:tc>
      </w:tr>
      <w:tr>
        <w:tc>
          <w:tcPr>
            <w:tcW w:type="dxa" w:w="2408"/>
          </w:tcPr>
          <w:p>
            <w:r>
              <w:rPr>
                <w:rFonts w:ascii="Malgun Gothic" w:hAnsi="Malgun Gothic" w:eastAsia="맑은 고딕"/>
                <w:sz w:val="17"/>
              </w:rPr>
              <w:t>활용</w:t>
            </w:r>
          </w:p>
        </w:tc>
        <w:tc>
          <w:tcPr>
            <w:tcW w:type="dxa" w:w="2408"/>
          </w:tcPr>
          <w:p>
            <w:r>
              <w:rPr>
                <w:rFonts w:ascii="Malgun Gothic" w:hAnsi="Malgun Gothic" w:eastAsia="맑은 고딕"/>
                <w:sz w:val="17"/>
              </w:rPr>
              <w:t>진입방식·투자보호·위기대응</w:t>
            </w:r>
          </w:p>
        </w:tc>
        <w:tc>
          <w:tcPr>
            <w:tcW w:type="dxa" w:w="2408"/>
          </w:tcPr>
          <w:p>
            <w:r>
              <w:rPr>
                <w:rFonts w:ascii="Malgun Gothic" w:hAnsi="Malgun Gothic" w:eastAsia="맑은 고딕"/>
                <w:sz w:val="17"/>
              </w:rPr>
              <w:t>국가선정·신용평가·자금조달 판단</w:t>
            </w:r>
          </w:p>
        </w:tc>
        <w:tc>
          <w:tcPr>
            <w:tcW w:type="dxa" w:w="2408"/>
          </w:tcPr>
          <w:p>
            <w:r>
              <w:rPr>
                <w:rFonts w:ascii="Malgun Gothic" w:hAnsi="Malgun Gothic" w:eastAsia="맑은 고딕"/>
                <w:sz w:val="17"/>
              </w:rPr>
              <w:t>국제경영 의사결정에서 상호보완</w:t>
            </w:r>
          </w:p>
        </w:tc>
      </w:tr>
    </w:tbl>
    <w:p>
      <w:pPr>
        <w:pStyle w:val="Heading1"/>
      </w:pPr>
      <w:r>
        <w:t>Ⅲ. 결론</w:t>
      </w:r>
    </w:p>
    <w:p>
      <w:pPr>
        <w:ind w:firstLine="397"/>
        <w:jc w:val="both"/>
      </w:pPr>
      <w:r>
        <w:t>국제기업은 국내기업보다 다양한 제도와 정치환경에 노출되기 때문에 정치적 위험을 경영전략의 핵심 변수로 다루어야 한다. 정치적 위험은 정권교체나 전쟁과 같은 급격한 사건뿐 아니라 조세, 노동, 환경, 외환, 산업정책의 변화처럼 합법적이고 점진적인 정책 변화에서도 발생할 수 있다. 따라서 기업은 진출국의 정치적 안정성만을 단순 평가하기보다 정책의 예측가능성, 사회갈등, 법치, 국제관계, 외환 및 산업정책의 방향을 함께 분석해야 한다.</w:t>
      </w:r>
    </w:p>
    <w:p>
      <w:pPr>
        <w:ind w:firstLine="397"/>
        <w:jc w:val="both"/>
      </w:pPr>
      <w:r>
        <w:t>또한 정치적 위험은 회피만을 목적으로 관리하기보다 기업이 감당할 수 있는 위험 수준을 설정하고 그에 맞추어 진입방식, 투자규모, 계약조건, 공급망, 보험 및 철수계획을 설계하는 방식으로 관리하는 것이 바람직하다. 국가위험은 정치적 위험보다 넓은 개념으로 경제·금융적 취약성까지 포괄하므로 해외사업 의사결정에서는 두 개념을 함께 활용해야 한다. 필자는 특히 최근의 국제경영 환경에서는 정치와 경제를 분리하여 판단하기 어렵다고 본다. 지정학적 갈등이 무역·투자·기술 규제로 빠르게 전환될 수 있기 때문에 기업은 정기적인 국가위험 평가와 함께 정치적 사건이 자사 사업모델에 미치는 구체적 영향을 시나리오별로 점검할 필요가 있다.</w:t>
      </w:r>
    </w:p>
    <w:p>
      <w:pPr>
        <w:pStyle w:val="Heading1"/>
      </w:pPr>
      <w:r>
        <w:t>Ⅳ. 참고문헌</w:t>
      </w:r>
    </w:p>
    <w:p>
      <w:pPr>
        <w:ind w:left="283" w:hanging="283"/>
      </w:pPr>
      <w:r>
        <w:t>Daniels, J. D., Radebaugh, L. H., &amp; Sullivan, D. P. (2019). International Business: Environments and Operations (16th ed.). Pearson.</w:t>
      </w:r>
    </w:p>
    <w:p>
      <w:pPr>
        <w:ind w:left="283" w:hanging="283"/>
      </w:pPr>
      <w:r>
        <w:t>Henisz, W. J. (2000). The institutional environment for multinational investment. Journal of Law, Economics, and Organization, 16(2), 334-364.</w:t>
      </w:r>
    </w:p>
    <w:p>
      <w:pPr>
        <w:ind w:left="283" w:hanging="283"/>
      </w:pPr>
      <w:r>
        <w:t>Howell, L. D. (Ed.). (2014). The Handbook of Country and Political Risk Analysis (5th ed.). PRS Group.</w:t>
      </w:r>
    </w:p>
    <w:p>
      <w:pPr>
        <w:ind w:left="283" w:hanging="283"/>
      </w:pPr>
      <w:r>
        <w:t>Root, F. R. (1972). Analyzing political risks in international business. In A. Kapoor &amp; P. D. Grub (Eds.), The Multinational Enterprise in Transition. Darwin Press.</w:t>
      </w:r>
    </w:p>
    <w:p>
      <w:pPr>
        <w:ind w:left="283" w:hanging="283"/>
      </w:pPr>
      <w:r>
        <w:t>한국무역보험공사. 해외투자 및 정치적 위험 관련 무역보험 제도 안내 자료.</w:t>
      </w:r>
    </w:p>
    <w:p>
      <w:r>
        <w:br w:type="page"/>
      </w:r>
    </w:p>
    <w:p>
      <w:pPr>
        <w:jc w:val="center"/>
      </w:pPr>
      <w:r>
        <w:rPr>
          <w:b/>
          <w:sz w:val="34"/>
        </w:rPr>
        <w:t>주의사항</w:t>
      </w:r>
    </w:p>
    <w:p>
      <w:pPr>
        <w:ind w:firstLine="397"/>
        <w:jc w:val="both"/>
      </w:pPr>
      <w: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before="360"/>
      </w:pPr>
      <w:r>
        <w:rPr>
          <w:b/>
          <w:sz w:val="28"/>
        </w:rPr>
        <w:t>과제 수정이 어려우신가요?</w:t>
      </w:r>
    </w:p>
    <w:p>
      <w:pPr>
        <w:ind w:firstLine="397"/>
        <w:jc w:val="both"/>
      </w:pPr>
      <w:r>
        <w:t>국민원격교육관리센터에서 1:1 과제 수정 도움을 드립니다.</w:t>
        <w:br/>
        <w:t>아래 연락처로 문의해 주세요.</w:t>
      </w:r>
    </w:p>
    <w:p>
      <w:pPr>
        <w:ind w:left="567"/>
      </w:pPr>
      <w:r>
        <w:t>전화: 050-7878-7044</w:t>
      </w:r>
    </w:p>
    <w:p>
      <w:pPr>
        <w:ind w:left="567"/>
      </w:pPr>
      <w:r>
        <w:t>카카오톡: @국민원격교육관리센터</w:t>
      </w:r>
    </w:p>
    <w:p>
      <w:pPr>
        <w:ind w:left="567"/>
      </w:pPr>
      <w:r>
        <w:t>운영시간: 평일 10:00–19:00</w:t>
      </w:r>
    </w:p>
    <w:p>
      <w:pPr>
        <w:ind w:left="567"/>
      </w:pPr>
      <w:r>
        <w:t>웹사이트: korealms.co.kr</w:t>
      </w:r>
    </w:p>
    <w:sectPr w:rsidR="00FC693F" w:rsidRPr="0006063C" w:rsidSect="00034616">
      <w:footerReference w:type="default" r:id="rId9"/>
      <w:pgSz w:w="12240" w:h="15840"/>
      <w:pgMar w:top="1134" w:right="1304" w:bottom="1134"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sz w:val="16"/>
      </w:rPr>
      <w:t>국제경영 과제 참고용 샘플</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72" w:lineRule="auto" w:after="120"/>
    </w:pPr>
    <w:rPr>
      <w:rFonts w:ascii="Malgun Gothic" w:hAnsi="Malgun Gothic" w:eastAsia="맑은 고딕"/>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Malgun Gothic" w:hAnsi="Malgun Gothic" w:eastAsia="맑은 고딕"/>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Malgun Gothic" w:hAnsi="Malgun Gothic" w:eastAsia="맑은 고딕"/>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Malgun Gothic" w:hAnsi="Malgun Gothic" w:eastAsia="맑은 고딕"/>
      <w:b/>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