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600"/>
        <w:jc w:val="center"/>
        <w:widowControl/>
      </w:pPr>
      <w:r>
        <w:rPr>
          <w:rFonts w:ascii="Malgun Gothic" w:hAnsi="Malgun Gothic" w:eastAsia="Malgun Gothic"/>
          <w:b/>
          <w:color w:val="2D3C50"/>
          <w:sz w:val="40"/>
        </w:rPr>
        <w:t>보 육 교 사 론</w:t>
      </w:r>
    </w:p>
    <w:p>
      <w:pPr>
        <w:spacing w:before="460" w:after="280"/>
        <w:jc w:val="center"/>
        <w:widowControl/>
      </w:pPr>
      <w:r>
        <w:rPr>
          <w:rFonts w:ascii="Malgun Gothic" w:hAnsi="Malgun Gothic" w:eastAsia="Malgun Gothic"/>
          <w:b/>
          <w:sz w:val="34"/>
        </w:rPr>
        <w:t>어린이집 아동학대 사례와</w:t>
        <w:br/>
        <w:t>바람직한 영유아 교사의 자질 및 예방방안</w:t>
      </w:r>
    </w:p>
    <w:p>
      <w:pPr>
        <w:spacing w:before="60"/>
        <w:jc w:val="center"/>
        <w:widowControl/>
      </w:pPr>
      <w:r>
        <w:rPr>
          <w:rFonts w:ascii="Malgun Gothic" w:hAnsi="Malgun Gothic" w:eastAsia="Malgun Gothic"/>
          <w:b/>
          <w:color w:val="505050"/>
          <w:sz w:val="22"/>
        </w:rPr>
        <w:t>과제 주제</w:t>
      </w:r>
    </w:p>
    <w:p>
      <w:pPr>
        <w:spacing w:line="348" w:lineRule="auto" w:after="240"/>
        <w:ind w:left="680" w:right="680"/>
        <w:jc w:val="center"/>
        <w:widowControl/>
      </w:pPr>
      <w:r>
        <w:rPr>
          <w:rFonts w:ascii="Malgun Gothic" w:hAnsi="Malgun Gothic" w:eastAsia="Malgun Gothic"/>
          <w:b w:val="0"/>
          <w:sz w:val="19"/>
        </w:rPr>
        <w:t>아동학대 등 사회적으로 문제가 되었던 어린이집의 사례를 제시하고, 사례 속에서 문제가 되는 것이 무엇인지 바람직한 영유아 교사의 자질과 태도를 기반으로 서술하시오. 또한 문제 되는 상황이 발생하지 않도록 개인적, 기관적 차원에서 예방할 수 있는 방법에 대하여 의견을 제시하시오.</w:t>
      </w:r>
    </w:p>
    <w:p>
      <w:pPr>
        <w:jc w:val="center"/>
        <w:widowControl/>
      </w:pPr>
      <w:r>
        <w:rPr>
          <w:rFonts w:ascii="Malgun Gothic" w:hAnsi="Malgun Gothic" w:eastAsia="Malgun Gothic"/>
          <w:b w:val="0"/>
          <w:color w:val="A0A0A0"/>
          <w:sz w:val="18"/>
        </w:rPr>
        <w:t>――――――――――――――――――――――――――</w:t>
      </w:r>
    </w:p>
    <w:p>
      <w:pPr>
        <w:spacing w:before="140" w:after="80"/>
        <w:widowControl/>
      </w:pPr>
      <w:r>
        <w:rPr>
          <w:rFonts w:ascii="Malgun Gothic" w:hAnsi="Malgun Gothic" w:eastAsia="Malgun Gothic"/>
          <w:b/>
          <w:sz w:val="26"/>
        </w:rPr>
        <w:t>목차</w:t>
      </w:r>
    </w:p>
    <w:p>
      <w:pPr>
        <w:spacing w:after="40"/>
        <w:ind w:left="510"/>
        <w:widowControl/>
      </w:pPr>
      <w:r>
        <w:rPr>
          <w:rFonts w:ascii="Malgun Gothic" w:hAnsi="Malgun Gothic" w:eastAsia="Malgun Gothic"/>
          <w:b/>
          <w:sz w:val="20"/>
        </w:rPr>
        <w:t>Ⅰ. 서론</w:t>
      </w:r>
    </w:p>
    <w:p>
      <w:pPr>
        <w:spacing w:after="40"/>
        <w:ind w:left="510"/>
        <w:widowControl/>
      </w:pPr>
      <w:r>
        <w:rPr>
          <w:rFonts w:ascii="Malgun Gothic" w:hAnsi="Malgun Gothic" w:eastAsia="Malgun Gothic"/>
          <w:b/>
          <w:sz w:val="20"/>
        </w:rPr>
        <w:t>Ⅱ. 본론</w:t>
      </w:r>
    </w:p>
    <w:p>
      <w:pPr>
        <w:spacing w:after="40"/>
        <w:ind w:left="964"/>
        <w:widowControl/>
      </w:pPr>
      <w:r>
        <w:rPr>
          <w:rFonts w:ascii="Malgun Gothic" w:hAnsi="Malgun Gothic" w:eastAsia="Malgun Gothic"/>
          <w:b w:val="0"/>
          <w:sz w:val="20"/>
        </w:rPr>
        <w:t>1. 사회적으로 문제가 된 어린이집 아동학대 사례</w:t>
      </w:r>
    </w:p>
    <w:p>
      <w:pPr>
        <w:spacing w:after="40"/>
        <w:ind w:left="964"/>
        <w:widowControl/>
      </w:pPr>
      <w:r>
        <w:rPr>
          <w:rFonts w:ascii="Malgun Gothic" w:hAnsi="Malgun Gothic" w:eastAsia="Malgun Gothic"/>
          <w:b w:val="0"/>
          <w:sz w:val="20"/>
        </w:rPr>
        <w:t>2. 사례 속에서 확인되는 문제점</w:t>
      </w:r>
    </w:p>
    <w:p>
      <w:pPr>
        <w:spacing w:after="40"/>
        <w:ind w:left="964"/>
        <w:widowControl/>
      </w:pPr>
      <w:r>
        <w:rPr>
          <w:rFonts w:ascii="Malgun Gothic" w:hAnsi="Malgun Gothic" w:eastAsia="Malgun Gothic"/>
          <w:b w:val="0"/>
          <w:sz w:val="20"/>
        </w:rPr>
        <w:t>3. 바람직한 영유아 교사의 자질과 태도</w:t>
      </w:r>
    </w:p>
    <w:p>
      <w:pPr>
        <w:spacing w:after="40"/>
        <w:ind w:left="964"/>
        <w:widowControl/>
      </w:pPr>
      <w:r>
        <w:rPr>
          <w:rFonts w:ascii="Malgun Gothic" w:hAnsi="Malgun Gothic" w:eastAsia="Malgun Gothic"/>
          <w:b w:val="0"/>
          <w:sz w:val="20"/>
        </w:rPr>
        <w:t>4. 개인적 차원의 예방방안</w:t>
      </w:r>
    </w:p>
    <w:p>
      <w:pPr>
        <w:spacing w:after="40"/>
        <w:ind w:left="964"/>
        <w:widowControl/>
      </w:pPr>
      <w:r>
        <w:rPr>
          <w:rFonts w:ascii="Malgun Gothic" w:hAnsi="Malgun Gothic" w:eastAsia="Malgun Gothic"/>
          <w:b w:val="0"/>
          <w:sz w:val="20"/>
        </w:rPr>
        <w:t>5. 기관적 차원의 예방방안</w:t>
      </w:r>
    </w:p>
    <w:p>
      <w:pPr>
        <w:spacing w:after="40"/>
        <w:ind w:left="510"/>
        <w:widowControl/>
      </w:pPr>
      <w:r>
        <w:rPr>
          <w:rFonts w:ascii="Malgun Gothic" w:hAnsi="Malgun Gothic" w:eastAsia="Malgun Gothic"/>
          <w:b/>
          <w:sz w:val="20"/>
        </w:rPr>
        <w:t>Ⅲ. 결론 및 의견</w:t>
      </w:r>
    </w:p>
    <w:p>
      <w:pPr>
        <w:spacing w:after="40"/>
        <w:ind w:left="510"/>
        <w:widowControl/>
      </w:pPr>
      <w:r>
        <w:rPr>
          <w:rFonts w:ascii="Malgun Gothic" w:hAnsi="Malgun Gothic" w:eastAsia="Malgun Gothic"/>
          <w:b/>
          <w:sz w:val="20"/>
        </w:rPr>
        <w:t>참고문헌</w:t>
      </w:r>
    </w:p>
    <w:p>
      <w:pPr>
        <w:widowControl/>
      </w:pPr>
      <w:r>
        <w:br w:type="page"/>
      </w:r>
    </w:p>
    <w:p>
      <w:pPr>
        <w:keepNext/>
        <w:spacing w:before="100" w:after="80" w:line="276" w:lineRule="auto"/>
        <w:jc w:val="left"/>
        <w:widowControl/>
      </w:pPr>
      <w:r>
        <w:rPr>
          <w:rFonts w:ascii="Malgun Gothic" w:hAnsi="Malgun Gothic" w:eastAsia="Malgun Gothic"/>
          <w:b/>
          <w:sz w:val="26"/>
        </w:rPr>
        <w:t>Ⅰ. 서론</w:t>
      </w:r>
    </w:p>
    <w:p>
      <w:pPr>
        <w:spacing w:line="384" w:lineRule="auto" w:before="0" w:after="40"/>
        <w:ind w:firstLine="397"/>
        <w:jc w:val="both"/>
        <w:widowControl/>
      </w:pPr>
      <w:r>
        <w:rPr>
          <w:rFonts w:ascii="Malgun Gothic" w:hAnsi="Malgun Gothic" w:eastAsia="Malgun Gothic"/>
          <w:b w:val="0"/>
          <w:sz w:val="20"/>
        </w:rPr>
        <w:t>어린이집은 영유아가 가정 밖에서 장시간 생활하며 보호와 교육을 동시에 경험하는 공간이다. 영유아는 위험한 상황을 스스로 설명하거나 자신의 권리를 충분히 주장하기 어렵기 때문에 교사의 태도와 기관의 운영방식은 안전과 발달에 직접적인 영향을 미친다. 특히 영유아기는 성인과의 관계를 통해 기본적 신뢰와 자아개념을 형성하는 시기이므로, 교사의 위협적 언행이나 폭력은 단순한 훈육 실패가 아니라 아동의 정서와 사회성 발달을 침해하는 문제가 된다.</w:t>
      </w:r>
    </w:p>
    <w:p>
      <w:pPr>
        <w:spacing w:line="384" w:lineRule="auto" w:before="0" w:after="40"/>
        <w:ind w:firstLine="397"/>
        <w:jc w:val="both"/>
        <w:widowControl/>
      </w:pPr>
      <w:r>
        <w:rPr>
          <w:rFonts w:ascii="Malgun Gothic" w:hAnsi="Malgun Gothic" w:eastAsia="Malgun Gothic"/>
          <w:b w:val="0"/>
          <w:sz w:val="20"/>
        </w:rPr>
        <w:t>우리 사회에서는 어린이집 아동학대 사건이 반복적으로 보도되면서 보육교사의 전문성과 윤리, 기관의 관리책임이 중요한 쟁점이 되었다. 본 과제에서는 2015년 인천 어린이집 아동학대 사건을 사례로 살펴보고, 그 안에서 나타난 문제를 바람직한 영유아 교사의 자질과 태도에 비추어 분석한다. 이어 동일한 문제가 발생하지 않도록 개인적·기관적 차원에서 실천할 수 있는 예방방안을 제시하고자 한다.</w:t>
      </w:r>
    </w:p>
    <w:p>
      <w:pPr>
        <w:keepNext/>
        <w:spacing w:before="100" w:after="80" w:line="276" w:lineRule="auto"/>
        <w:jc w:val="left"/>
        <w:widowControl/>
      </w:pPr>
      <w:r>
        <w:rPr>
          <w:rFonts w:ascii="Malgun Gothic" w:hAnsi="Malgun Gothic" w:eastAsia="Malgun Gothic"/>
          <w:b/>
          <w:sz w:val="26"/>
        </w:rPr>
        <w:t>Ⅱ. 본론</w:t>
      </w:r>
    </w:p>
    <w:p>
      <w:pPr>
        <w:keepNext/>
        <w:spacing w:before="60" w:after="80" w:line="276" w:lineRule="auto"/>
        <w:jc w:val="left"/>
        <w:widowControl/>
      </w:pPr>
      <w:r>
        <w:rPr>
          <w:rFonts w:ascii="Malgun Gothic" w:hAnsi="Malgun Gothic" w:eastAsia="Malgun Gothic"/>
          <w:b/>
          <w:sz w:val="22"/>
        </w:rPr>
        <w:t>1. 사회적으로 문제가 된 어린이집 아동학대 사례</w:t>
      </w:r>
    </w:p>
    <w:p>
      <w:pPr>
        <w:spacing w:line="384" w:lineRule="auto" w:before="0" w:after="40"/>
        <w:ind w:firstLine="397"/>
        <w:jc w:val="both"/>
        <w:widowControl/>
      </w:pPr>
      <w:r>
        <w:rPr>
          <w:rFonts w:ascii="Malgun Gothic" w:hAnsi="Malgun Gothic" w:eastAsia="Malgun Gothic"/>
          <w:b w:val="0"/>
          <w:sz w:val="20"/>
        </w:rPr>
        <w:t>2015년 1월 인천 연수구의 한 어린이집에서는 보육교사가 급식 시간에 음식을 남긴 만 4세 원아에게 신체적 폭력을 행사한 사실이 CCTV를 통해 확인되었다. 영상에는 교사가 남은 음식을 먹게 하는 과정에서 아동이 음식을 제대로 먹지 못하자 얼굴 부위를 강하게 때려 아동이 바닥으로 넘어지는 모습이 담겼고, 주변의 다른 원아들도 이를 지켜보고 있었다. 사건은 큰 사회적 공분을 일으켰으며 가해 보육교사는 이후 징역형을 선고받았다. 또한 이 사건을 포함한 잇따른 학대 사건은 어린이집 안전관리 강화와 CCTV 설치 의무화 논의를 촉진하였다(연합뉴스, 2015).</w:t>
      </w:r>
    </w:p>
    <w:p>
      <w:pPr>
        <w:spacing w:line="384" w:lineRule="auto" w:before="0" w:after="40"/>
        <w:ind w:firstLine="397"/>
        <w:jc w:val="both"/>
        <w:widowControl/>
      </w:pPr>
      <w:r>
        <w:rPr>
          <w:rFonts w:ascii="Malgun Gothic" w:hAnsi="Malgun Gothic" w:eastAsia="Malgun Gothic"/>
          <w:b w:val="0"/>
          <w:sz w:val="20"/>
        </w:rPr>
        <w:t>이 사건의 핵심은 생활지도를 이유로 성인이 가진 권위와 힘을 영유아에게 사용했다는 점이다. 영유아는 식욕과 음식 선호, 감각 민감성, 식사 속도가 서로 다르므로 음식 거부는 충분히 나타날 수 있는 행동이다. 교사는 원인을 살피고 적은 양부터 경험하게 하거나 긍정적으로 격려해야 하지만, 사례에서는 아동의 발달적 특성과 개인차를 고려하지 않은 강압적 통제가 이루어졌다.</w:t>
      </w:r>
    </w:p>
    <w:p>
      <w:pPr>
        <w:keepNext/>
        <w:spacing w:before="60" w:after="80" w:line="276" w:lineRule="auto"/>
        <w:jc w:val="left"/>
        <w:widowControl/>
      </w:pPr>
      <w:r>
        <w:rPr>
          <w:rFonts w:ascii="Malgun Gothic" w:hAnsi="Malgun Gothic" w:eastAsia="Malgun Gothic"/>
          <w:b/>
          <w:sz w:val="22"/>
        </w:rPr>
        <w:t>2. 사례 속에서 확인되는 문제점</w:t>
      </w:r>
    </w:p>
    <w:p>
      <w:pPr>
        <w:spacing w:line="384" w:lineRule="auto" w:before="0" w:after="40"/>
        <w:ind w:firstLine="397"/>
        <w:jc w:val="both"/>
        <w:widowControl/>
      </w:pPr>
      <w:r>
        <w:rPr>
          <w:rFonts w:ascii="Malgun Gothic" w:hAnsi="Malgun Gothic" w:eastAsia="Malgun Gothic"/>
          <w:b w:val="0"/>
          <w:sz w:val="20"/>
        </w:rPr>
        <w:t>첫째, 영유아의 인격과 권리를 침해한 신체적·정서적 학대라는 점이 가장 큰 문제이다. 중앙육아종합지원센터의 「어린이집 원장 및 보육교사 윤리강령」은 영유아의 인격과 권리를 존중하고 정서적·언어적·신체적 학대를 하지 않아야 한다고 제시한다. 보호받아야 할 아동에게 교사가 오히려 위협의 원인이 되었다는 것은 보육 전문직의 윤리를 중대하게 위반한 것이다. 둘째, 영유아 발달에 대한 이해와 공감이 부족했다. 아동의 행동을 ‘말을 듣지 않는 행동’으로만 판단하면 지도는 쉽게 통제로 변할 수 있다. 셋째, 교사의 감정조절과 스트레스 대처능력도 부족했다. 높은 직무스트레스가 폭력을 정당화할 수는 없으며, 전문직 교사는 자신의 분노와 조급함이 아동에게 표출되지 않도록 관리해야 한다.</w:t>
      </w:r>
    </w:p>
    <w:p>
      <w:pPr>
        <w:spacing w:line="384" w:lineRule="auto" w:before="0" w:after="40"/>
        <w:ind w:firstLine="397"/>
        <w:jc w:val="both"/>
        <w:keepLines/>
        <w:widowControl/>
      </w:pPr>
      <w:r>
        <w:rPr>
          <w:rFonts w:ascii="Malgun Gothic" w:hAnsi="Malgun Gothic" w:eastAsia="Malgun Gothic"/>
          <w:b w:val="0"/>
          <w:sz w:val="20"/>
        </w:rPr>
        <w:t>넷째, 기관의 관리와 예방체계가 충분히 기능했는지도 검토해야 한다. 아동학대는 CCTV만으로 예방되지 않는다. 원장이 교사의 상호작용을 정기적으로 관찰하고, 부적절한 훈육이 나타나는 초기 단계에서 지도하며, 교사가 어려움을 안전하게 호소할 수 있는 조직문화가 필요하다. 현행 영유아보육법은 아동학대 방지와 영유아 안전을 위해 어린이집의 CCTV 설치·관리를 규정하고 있지만, CCTV는 사후 확인을 위한 최소한의 안전장치이며 예방의 중심은 교사와 기관의 전문적 실천이어야 한다.</w:t>
      </w:r>
    </w:p>
    <w:p>
      <w:pPr>
        <w:keepNext/>
        <w:spacing w:before="60" w:after="80" w:line="276" w:lineRule="auto"/>
        <w:jc w:val="left"/>
        <w:widowControl/>
      </w:pPr>
      <w:r>
        <w:rPr>
          <w:rFonts w:ascii="Malgun Gothic" w:hAnsi="Malgun Gothic" w:eastAsia="Malgun Gothic"/>
          <w:b/>
          <w:sz w:val="22"/>
        </w:rPr>
        <w:t>3. 바람직한 영유아 교사의 자질과 태도</w:t>
      </w:r>
    </w:p>
    <w:p>
      <w:pPr>
        <w:spacing w:line="384" w:lineRule="auto" w:before="0" w:after="40"/>
        <w:ind w:firstLine="397"/>
        <w:jc w:val="both"/>
        <w:widowControl/>
      </w:pPr>
      <w:r>
        <w:rPr>
          <w:rFonts w:ascii="Malgun Gothic" w:hAnsi="Malgun Gothic" w:eastAsia="Malgun Gothic"/>
          <w:b w:val="0"/>
          <w:sz w:val="20"/>
        </w:rPr>
        <w:t>바람직한 영유아 교사의 첫 번째 자질은 영유아를 독립적인 인격체로 바라보는 인권감수성이다. 영유아는 미숙하더라도 존중받아야 하며, 교사는 일상적인 언어와 행동에서 아동의 존엄성을 보호해야 한다. 두 번째는 공감과 수용이다. 영유아는 언어표현이 충분하지 않아 행동으로 피곤함, 불안, 거부감 등을 드러내므로, 교사는 행동의 표면만 통제하기보다 그 이유를 이해하려 노력해야 한다. 예를 들어 음식을 거부하는 아동에게 강제로 먹이기보다 불편한 이유를 살피고 소량부터 경험하도록 도우며 긍정적인 시도를 칭찬하는 방식이 바람직하다.</w:t>
      </w:r>
    </w:p>
    <w:p>
      <w:pPr>
        <w:spacing w:line="384" w:lineRule="auto" w:before="0" w:after="40"/>
        <w:ind w:firstLine="397"/>
        <w:jc w:val="both"/>
        <w:widowControl/>
      </w:pPr>
      <w:r>
        <w:rPr>
          <w:rFonts w:ascii="Malgun Gothic" w:hAnsi="Malgun Gothic" w:eastAsia="Malgun Gothic"/>
          <w:b w:val="0"/>
          <w:sz w:val="20"/>
        </w:rPr>
        <w:t>세 번째는 전문지식과 반성적 실천능력이다. 교사는 연령별 발달특성, 긍정적 훈육, 문제행동 지도, 아동학대의 유형과 징후를 지속적으로 학습해야 하며 자신의 상호작용도 돌아볼 수 있어야 한다. 네 번째는 감정조절과 책임감이다. 화가 나거나 지친 상황에서도 아동에게 위협적 언어와 신체적 강제를 사용하지 않고, 필요하면 동료나 원장에게 도움을 요청해야 한다. 이러한 태도는 도움을 요청하는 것을 무능력으로 보는 것이 아니라 아동의 안전을 우선하는 전문적 판단으로 이해할 때 강화될 수 있다.</w:t>
      </w:r>
    </w:p>
    <w:p>
      <w:pPr>
        <w:keepNext/>
        <w:spacing w:before="60" w:after="80" w:line="276" w:lineRule="auto"/>
        <w:jc w:val="left"/>
        <w:widowControl/>
      </w:pPr>
      <w:r>
        <w:rPr>
          <w:rFonts w:ascii="Malgun Gothic" w:hAnsi="Malgun Gothic" w:eastAsia="Malgun Gothic"/>
          <w:b/>
          <w:sz w:val="22"/>
        </w:rPr>
        <w:t>4. 개인적 차원의 예방방안</w:t>
      </w:r>
    </w:p>
    <w:p>
      <w:pPr>
        <w:spacing w:line="384" w:lineRule="auto" w:before="0" w:after="40"/>
        <w:ind w:firstLine="397"/>
        <w:jc w:val="both"/>
        <w:widowControl/>
      </w:pPr>
      <w:r>
        <w:rPr>
          <w:rFonts w:ascii="Malgun Gothic" w:hAnsi="Malgun Gothic" w:eastAsia="Malgun Gothic"/>
          <w:b w:val="0"/>
          <w:sz w:val="20"/>
        </w:rPr>
        <w:t>개인적 차원에서는 우선 긍정적 훈육방법을 구체적으로 익히고 습관화해야 한다. 행동을 즉시 제압하기보다 선택지를 제시하고, 감정을 인정하며, 지켜야 할 규칙을 짧고 일관되게 설명하는 방법을 사용할 수 있다. 또한 하루의 상호작용을 되돌아보며 “아이에게 겁을 주어 행동을 멈추게 하지는 않았는가”, “감정이 섞인 말투로 비난하거나 비교하지 않았는가”를 점검하는 반성적 기록이 필요하다. 스트레스가 누적될 때에는 휴식, 상담, 동료의 지원을 적극적으로 이용하고 감정이 격해진 순간에는 즉시 도움을 요청해야 한다. 동료의 부적절한 행동을 목격했을 때 침묵하지 않고 보고체계에 따라 알리는 것 역시 영유아를 보호하는 전문적 책임이다.</w:t>
      </w:r>
    </w:p>
    <w:p>
      <w:pPr>
        <w:keepNext/>
        <w:spacing w:before="60" w:after="80" w:line="276" w:lineRule="auto"/>
        <w:jc w:val="left"/>
        <w:widowControl/>
      </w:pPr>
      <w:r>
        <w:rPr>
          <w:rFonts w:ascii="Malgun Gothic" w:hAnsi="Malgun Gothic" w:eastAsia="Malgun Gothic"/>
          <w:b/>
          <w:sz w:val="22"/>
        </w:rPr>
        <w:t>5. 기관적 차원의 예방방안</w:t>
      </w:r>
    </w:p>
    <w:p>
      <w:pPr>
        <w:spacing w:line="384" w:lineRule="auto" w:before="0" w:after="40"/>
        <w:ind w:firstLine="397"/>
        <w:jc w:val="both"/>
        <w:widowControl/>
      </w:pPr>
      <w:r>
        <w:rPr>
          <w:rFonts w:ascii="Malgun Gothic" w:hAnsi="Malgun Gothic" w:eastAsia="Malgun Gothic"/>
          <w:b w:val="0"/>
          <w:sz w:val="20"/>
        </w:rPr>
        <w:t>기관적 차원에서는 첫째, 원장과 관리자의 상시적인 상호작용 점검과 코칭이 필요하다. 사고가 발생한 뒤 CCTV를 확인하는 방식이 아니라 식사, 낮잠, 배변, 전이시간처럼 갈등이 생기기 쉬운 상황을 중심으로 교사의 지도방식을 관찰하고 적절한 대안을 함께 찾아야 한다. 둘째, 교직원의 과도한 업무부담과 소진을 줄이는 근무환경을 마련해야 한다. 보조·대체인력을 활용하고 실제로 사용할 수 있는 휴게시간을 보장하며, 신규교사나 어려움을 겪는 교사에게 멘토링과 상담을 제공하는 것이 필요하다.</w:t>
      </w:r>
    </w:p>
    <w:p>
      <w:pPr>
        <w:spacing w:line="384" w:lineRule="auto" w:before="0" w:after="40"/>
        <w:ind w:firstLine="397"/>
        <w:jc w:val="both"/>
        <w:keepLines/>
        <w:widowControl/>
      </w:pPr>
      <w:r>
        <w:rPr>
          <w:rFonts w:ascii="Malgun Gothic" w:hAnsi="Malgun Gothic" w:eastAsia="Malgun Gothic"/>
          <w:b w:val="0"/>
          <w:sz w:val="20"/>
        </w:rPr>
        <w:t>셋째, 아동권리 중심의 조직문화를 형성해야 한다. 어린이집의 목표가 ‘아이를 말을 잘 듣게 만드는 것’이 아니라 ‘아이를 안전하고 존중받는 존재로 성장시키는 것’임을 모든 교직원이 공유해야 한다. 정기적인 사례회의에서 어려운 행동지도 상황을 논의하고 체벌이나 위협 없이 해결할 수 있는 대안을 함께 마련하면 개인 교사가 혼자 문제를 감당하는 상황을 줄일 수 있다. 넷째, 보호자와의 소통 및 신고·대응 절차를 명확히 해야 한다. 보호자가 아동의 변화나 이상행동을 전달하면 방어적으로 대응하기보다 사실을 확인하고 필요한 절차를 안내해야 하며, CCTV는 감시수단이 아니라 안전을 객관적으로 확인하는 보완적 장치로 활용해야 한다.</w:t>
      </w:r>
    </w:p>
    <w:p>
      <w:pPr>
        <w:keepNext/>
        <w:spacing w:before="100" w:after="80" w:line="276" w:lineRule="auto"/>
        <w:jc w:val="left"/>
        <w:widowControl/>
      </w:pPr>
      <w:r>
        <w:rPr>
          <w:rFonts w:ascii="Malgun Gothic" w:hAnsi="Malgun Gothic" w:eastAsia="Malgun Gothic"/>
          <w:b/>
          <w:sz w:val="26"/>
        </w:rPr>
        <w:t>Ⅲ. 결론 및 의견</w:t>
      </w:r>
    </w:p>
    <w:p>
      <w:pPr>
        <w:spacing w:line="384" w:lineRule="auto" w:before="0" w:after="40"/>
        <w:ind w:firstLine="397"/>
        <w:jc w:val="both"/>
        <w:widowControl/>
      </w:pPr>
      <w:r>
        <w:rPr>
          <w:rFonts w:ascii="Malgun Gothic" w:hAnsi="Malgun Gothic" w:eastAsia="Malgun Gothic"/>
          <w:b w:val="0"/>
          <w:sz w:val="20"/>
        </w:rPr>
        <w:t>2015년 인천 어린이집 아동학대 사건은 한 교사의 폭력행위가 피해 아동뿐 아니라 이를 목격한 다른 영유아, 보호자, 전체 보육현장에 대한 사회적 신뢰까지 훼손할 수 있음을 보여준다. 바람직한 보육교사는 아동을 존엄한 주체로 대하는 인권감수성, 발달에 대한 전문지식, 공감능력, 감정조절능력과 책임감을 갖추어야 한다. 나는 아동학대 예방을 개인의 인성이나 CCTV에만 맡겨서는 안 된다고 생각한다. 교사는 자신의 행동을 지속적으로 성찰해야 하고, 기관은 교사가 좋은 보육을 지속할 수 있도록 교육·휴식·상담·코칭을 제공해야 한다. 결국 효과적인 예방은 문제가 발생한 뒤 가해자를 찾아 처벌하는 것에 그치지 않고, 작은 위험신호가 조기에 발견되고 수정되며 영유아의 권리가 조직의 최우선 가치로 작동하는 체계를 만드는 데서 시작된다.</w:t>
      </w:r>
    </w:p>
    <w:p>
      <w:pPr>
        <w:keepNext/>
        <w:spacing w:before="100" w:after="80" w:line="276" w:lineRule="auto"/>
        <w:jc w:val="left"/>
        <w:widowControl/>
      </w:pPr>
      <w:r>
        <w:rPr>
          <w:rFonts w:ascii="Malgun Gothic" w:hAnsi="Malgun Gothic" w:eastAsia="Malgun Gothic"/>
          <w:b/>
          <w:sz w:val="26"/>
        </w:rPr>
        <w:t>참고문헌</w:t>
      </w:r>
    </w:p>
    <w:p>
      <w:pPr>
        <w:spacing w:line="300" w:lineRule="auto" w:after="20"/>
        <w:ind w:left="227" w:hanging="227"/>
        <w:widowControl/>
      </w:pPr>
      <w:r>
        <w:rPr>
          <w:rFonts w:ascii="Malgun Gothic" w:hAnsi="Malgun Gothic" w:eastAsia="Malgun Gothic"/>
          <w:b w:val="0"/>
          <w:sz w:val="18"/>
        </w:rPr>
        <w:t>국가법령정보센터. (2026). 「영유아보육법」 제15조의4(폐쇄회로 텔레비전의 설치 등).</w:t>
      </w:r>
    </w:p>
    <w:p>
      <w:pPr>
        <w:spacing w:line="300" w:lineRule="auto" w:after="20"/>
        <w:ind w:left="227" w:hanging="227"/>
        <w:widowControl/>
      </w:pPr>
      <w:r>
        <w:rPr>
          <w:rFonts w:ascii="Malgun Gothic" w:hAnsi="Malgun Gothic" w:eastAsia="Malgun Gothic"/>
          <w:b w:val="0"/>
          <w:sz w:val="18"/>
        </w:rPr>
        <w:t>보건복지부. (2015). 2015년 보건복지부 업무계획: 어린이집 아동학대 근절 관련 내용.</w:t>
      </w:r>
    </w:p>
    <w:p>
      <w:pPr>
        <w:spacing w:line="300" w:lineRule="auto" w:after="20"/>
        <w:ind w:left="227" w:hanging="227"/>
        <w:widowControl/>
      </w:pPr>
      <w:r>
        <w:rPr>
          <w:rFonts w:ascii="Malgun Gothic" w:hAnsi="Malgun Gothic" w:eastAsia="Malgun Gothic"/>
          <w:b w:val="0"/>
          <w:sz w:val="18"/>
        </w:rPr>
        <w:t>연합뉴스. (2015. 12. 5.). 「&lt;그 사건, 지금은&gt; 인천 어린이집 폭행…CCTV 설치 의무화」.</w:t>
      </w:r>
    </w:p>
    <w:p>
      <w:pPr>
        <w:spacing w:line="300" w:lineRule="auto" w:after="20"/>
        <w:ind w:left="227" w:hanging="227"/>
        <w:widowControl/>
      </w:pPr>
      <w:r>
        <w:rPr>
          <w:rFonts w:ascii="Malgun Gothic" w:hAnsi="Malgun Gothic" w:eastAsia="Malgun Gothic"/>
          <w:b w:val="0"/>
          <w:sz w:val="18"/>
        </w:rPr>
        <w:t>중앙육아종합지원센터. (2013). 「어린이집 원장 및 보육교사 윤리강령」.</w:t>
      </w:r>
    </w:p>
    <w:p>
      <w:pPr>
        <w:spacing w:line="300" w:lineRule="auto" w:after="20"/>
        <w:ind w:left="227" w:hanging="227"/>
        <w:widowControl/>
      </w:pPr>
      <w:r>
        <w:rPr>
          <w:rFonts w:ascii="Malgun Gothic" w:hAnsi="Malgun Gothic" w:eastAsia="Malgun Gothic"/>
          <w:b w:val="0"/>
          <w:sz w:val="18"/>
        </w:rPr>
        <w:t>중앙육아종합지원센터. 「아동학대예방사업: 영유아 권리존중 자가체크리스트 및 보육교직원 상담·코칭 자료」.</w:t>
      </w:r>
    </w:p>
    <w:p>
      <w:pPr>
        <w:widowControl/>
      </w:pPr>
      <w:r>
        <w:br w:type="page"/>
      </w:r>
    </w:p>
    <w:p>
      <w:pPr>
        <w:spacing w:before="600" w:after="280"/>
        <w:widowControl/>
      </w:pPr>
      <w:r>
        <w:rPr>
          <w:rFonts w:ascii="Malgun Gothic" w:hAnsi="Malgun Gothic" w:eastAsia="Malgun Gothic"/>
          <w:b/>
          <w:color w:val="9B3737"/>
          <w:sz w:val="32"/>
        </w:rPr>
        <w:t>주의사항</w:t>
      </w:r>
    </w:p>
    <w:p>
      <w:pPr>
        <w:spacing w:line="360" w:lineRule="auto" w:after="480"/>
        <w:widowControl/>
      </w:pPr>
      <w:r>
        <w:rPr>
          <w:rFonts w:ascii="Malgun Gothic" w:hAnsi="Malgun Gothic" w:eastAsia="Malgun Gothic"/>
          <w:b w:val="0"/>
          <w:sz w:val="22"/>
        </w:rPr>
        <w:t>본 자료는 학점은행제 과제 참고용 샘플입니다.</w:t>
        <w:br/>
      </w:r>
      <w:r>
        <w:rPr>
          <w:rFonts w:ascii="Malgun Gothic" w:hAnsi="Malgun Gothic" w:eastAsia="Malgun Gothic"/>
          <w:b w:val="0"/>
          <w:sz w:val="22"/>
        </w:rPr>
        <w:t>위 학습 자료를 그대로 제출할 경우 모사율(표절률)로 인하여</w:t>
        <w:br/>
      </w:r>
      <w:r>
        <w:rPr>
          <w:rFonts w:ascii="Malgun Gothic" w:hAnsi="Malgun Gothic" w:eastAsia="Malgun Gothic"/>
          <w:b w:val="0"/>
          <w:sz w:val="22"/>
        </w:rPr>
        <w:t>성적 불이익 또는 해당 과목 0점 처리될 수 있습니다.</w:t>
        <w:br/>
      </w:r>
      <w:r>
        <w:rPr>
          <w:rFonts w:ascii="Malgun Gothic" w:hAnsi="Malgun Gothic" w:eastAsia="Malgun Gothic"/>
          <w:b/>
          <w:sz w:val="22"/>
        </w:rPr>
        <w:t>반드시 본인의 언어로 수정·재작성하여 제출하시기 바랍니다.</w:t>
      </w:r>
    </w:p>
    <w:p>
      <w:pPr>
        <w:spacing w:after="200"/>
        <w:widowControl/>
      </w:pPr>
      <w:r>
        <w:rPr>
          <w:rFonts w:ascii="Malgun Gothic" w:hAnsi="Malgun Gothic" w:eastAsia="Malgun Gothic"/>
          <w:b/>
          <w:color w:val="2D4B73"/>
          <w:sz w:val="28"/>
        </w:rPr>
        <w:t>과제 수정이 어려우신가요?</w:t>
      </w:r>
    </w:p>
    <w:p>
      <w:pPr>
        <w:spacing w:line="360" w:lineRule="auto" w:after="400"/>
        <w:widowControl/>
      </w:pPr>
      <w:r>
        <w:rPr>
          <w:rFonts w:ascii="Malgun Gothic" w:hAnsi="Malgun Gothic" w:eastAsia="Malgun Gothic"/>
          <w:b w:val="0"/>
          <w:sz w:val="21"/>
        </w:rPr>
        <w:t>국민원격교육관리센터에서 1:1 과제 수정 도움을 드립니다.</w:t>
        <w:br/>
        <w:t>아래 연락처로 문의해 주세요.</w:t>
      </w:r>
    </w:p>
    <w:p>
      <w:pPr>
        <w:spacing w:after="120"/>
        <w:ind w:left="283"/>
        <w:widowControl/>
      </w:pPr>
      <w:r>
        <w:rPr>
          <w:rFonts w:ascii="Malgun Gothic" w:hAnsi="Malgun Gothic" w:eastAsia="Malgun Gothic"/>
          <w:b/>
          <w:sz w:val="22"/>
        </w:rPr>
        <w:t>전화: 050-7878-7044</w:t>
      </w:r>
    </w:p>
    <w:p>
      <w:pPr>
        <w:spacing w:after="120"/>
        <w:ind w:left="283"/>
        <w:widowControl/>
      </w:pPr>
      <w:r>
        <w:rPr>
          <w:rFonts w:ascii="Malgun Gothic" w:hAnsi="Malgun Gothic" w:eastAsia="Malgun Gothic"/>
          <w:b/>
          <w:sz w:val="22"/>
        </w:rPr>
        <w:t>카카오톡: @국민원격교육관리센터</w:t>
      </w:r>
    </w:p>
    <w:p>
      <w:pPr>
        <w:spacing w:after="120"/>
        <w:ind w:left="283"/>
        <w:widowControl/>
      </w:pPr>
      <w:r>
        <w:rPr>
          <w:rFonts w:ascii="Malgun Gothic" w:hAnsi="Malgun Gothic" w:eastAsia="Malgun Gothic"/>
          <w:b w:val="0"/>
          <w:sz w:val="22"/>
        </w:rPr>
        <w:t>운영시간: 평일 10:00–19:00</w:t>
      </w:r>
    </w:p>
    <w:p>
      <w:pPr>
        <w:spacing w:after="120"/>
        <w:ind w:left="283"/>
        <w:widowControl/>
      </w:pPr>
      <w:r>
        <w:rPr>
          <w:rFonts w:ascii="Malgun Gothic" w:hAnsi="Malgun Gothic" w:eastAsia="Malgun Gothic"/>
          <w:b w:val="0"/>
          <w:sz w:val="22"/>
        </w:rPr>
        <w:t>웹사이트: korealms.co.kr</w:t>
      </w:r>
    </w:p>
    <w:sectPr w:rsidR="00FC693F" w:rsidRPr="0006063C" w:rsidSect="00034616">
      <w:footerReference w:type="default" r:id="rId9"/>
      <w:footerReference w:type="first" r:id="rId10"/>
      <w:pgSz w:w="12240" w:h="15840"/>
      <w:pgMar w:top="907" w:right="1077" w:bottom="907" w:left="1077" w:header="39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eastAsia="Malgun Gothic"/>
        <w:b w:val="0"/>
        <w:sz w:val="18"/>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eastAsia="Malgun Gothic"/>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어린이집 아동학대 사례와 바람직한 영유아 교사의 자질 및 예방방안</dc:title>
  <dc:subject>보육교사론 과제 참고용 샘플</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