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60"/>
        <w:jc w:val="center"/>
      </w:pPr>
      <w:r>
        <w:rPr>
          <w:b/>
          <w:color w:val="1F4D78"/>
          <w:sz w:val="52"/>
        </w:rPr>
        <w:t>사회복지정책론</w:t>
      </w:r>
    </w:p>
    <w:p>
      <w:pPr>
        <w:jc w:val="center"/>
      </w:pPr>
      <w:r>
        <w:rPr>
          <w:color w:val="5A5A5A"/>
          <w:sz w:val="32"/>
        </w:rPr>
        <w:t>과제 보고서</w:t>
      </w:r>
    </w:p>
    <w:p>
      <w:pPr>
        <w:spacing w:before="600"/>
        <w:jc w:val="center"/>
      </w:pPr>
      <w:r>
        <w:rPr>
          <w:b/>
          <w:color w:val="1F4D78"/>
          <w:sz w:val="22"/>
        </w:rPr>
        <w:t>과제 주제</w:t>
      </w:r>
    </w:p>
    <w:p>
      <w:pPr>
        <w:spacing w:line="324" w:lineRule="auto"/>
        <w:ind w:left="576" w:right="576"/>
        <w:jc w:val="center"/>
      </w:pPr>
      <w:r>
        <w:t>보건복지부 홈페이지에 접속하여 현재 시행되고 있는 우리나라의 노인복지 정책을 조사·정리하고 향후 개선과 발전 방안에 대해 제출하세요. 주제나 내용은 자유롭게 선택합니다.</w:t>
      </w:r>
    </w:p>
    <w:p>
      <w:pPr>
        <w:spacing w:before="520"/>
        <w:jc w:val="center"/>
      </w:pPr>
      <w:r>
        <w:rPr>
          <w:b/>
          <w:color w:val="1F4D78"/>
          <w:sz w:val="30"/>
        </w:rPr>
        <w:t>목  차</w:t>
      </w:r>
    </w:p>
    <w:p>
      <w:pPr>
        <w:spacing w:after="80"/>
        <w:ind w:left="1800" w:right="1008"/>
      </w:pPr>
      <w:r>
        <w:t>Ⅰ. 서론</w:t>
      </w:r>
    </w:p>
    <w:p>
      <w:pPr>
        <w:spacing w:after="80"/>
        <w:ind w:left="1800" w:right="1008"/>
      </w:pPr>
      <w:r>
        <w:t>Ⅱ. 본론</w:t>
      </w:r>
    </w:p>
    <w:p>
      <w:pPr>
        <w:spacing w:after="80"/>
        <w:ind w:left="1800" w:right="1008"/>
      </w:pPr>
      <w:r>
        <w:t xml:space="preserve">   1. 노인맞춤돌봄서비스의 도입 배경과 목적</w:t>
      </w:r>
    </w:p>
    <w:p>
      <w:pPr>
        <w:spacing w:after="80"/>
        <w:ind w:left="1800" w:right="1008"/>
      </w:pPr>
      <w:r>
        <w:t xml:space="preserve">   2. 정책 대상과 서비스 내용</w:t>
      </w:r>
    </w:p>
    <w:p>
      <w:pPr>
        <w:spacing w:after="80"/>
        <w:ind w:left="1800" w:right="1008"/>
      </w:pPr>
      <w:r>
        <w:t xml:space="preserve">   3. 전달체계와 수행인력</w:t>
      </w:r>
    </w:p>
    <w:p>
      <w:pPr>
        <w:spacing w:after="80"/>
        <w:ind w:left="1800" w:right="1008"/>
      </w:pPr>
      <w:r>
        <w:t xml:space="preserve">   4. 정책의 성과와 한계</w:t>
      </w:r>
    </w:p>
    <w:p>
      <w:pPr>
        <w:spacing w:after="80"/>
        <w:ind w:left="1800" w:right="1008"/>
      </w:pPr>
      <w:r>
        <w:t xml:space="preserve">   5. 향후 개선 및 발전방안</w:t>
      </w:r>
    </w:p>
    <w:p>
      <w:pPr>
        <w:spacing w:after="80"/>
        <w:ind w:left="1800" w:right="1008"/>
      </w:pPr>
      <w:r>
        <w:t>Ⅲ. 결론</w:t>
      </w:r>
    </w:p>
    <w:p>
      <w:pPr>
        <w:spacing w:after="80"/>
        <w:ind w:left="1800" w:right="1008"/>
      </w:pPr>
      <w:r>
        <w:t>참고문헌</w:t>
      </w:r>
    </w:p>
    <w:p>
      <w:pPr>
        <w:spacing w:before="360"/>
      </w:pPr>
      <w:r>
        <w:t>제출일:         년      월      일</w:t>
        <w:br/>
        <w:t>제출자: ____________________</w:t>
      </w:r>
    </w:p>
    <w:p>
      <w:r>
        <w:br w:type="page"/>
      </w:r>
    </w:p>
    <w:p>
      <w:pPr>
        <w:pStyle w:val="Heading1"/>
        <w:keepNext/>
      </w:pPr>
      <w:r>
        <w:t>Ⅰ. 서론</w:t>
      </w:r>
    </w:p>
    <w:p>
      <w:pPr>
        <w:spacing w:line="372" w:lineRule="auto" w:after="160"/>
        <w:ind w:firstLine="403"/>
        <w:jc w:val="both"/>
      </w:pPr>
      <w:r>
        <w:t>우리나라는 고령인구의 빠른 증가와 가족부양 기능의 약화가 동시에 진행되면서 노인의 일상생활을 지역사회 안에서 지원하는 정책의 중요성이 커지고 있다. 과거의 노인복지는 저소득 노인에 대한 소득보장이나 시설보호에 무게가 실렸으나, 오늘날에는 건강 악화와 사회적 고립을 예방하고 노인이 살던 곳에서 생활을 지속하도록 돕는 방향으로 확대되고 있다. 이러한 변화 속에서 노인맞춤돌봄서비스는 장기요양보험의 등급을 받기 전 단계에 있는 취약노인을 조기에 발견하고 필요한 서비스를 연결하는 대표적인 지역사회 돌봄정책이다.</w:t>
      </w:r>
    </w:p>
    <w:p>
      <w:pPr>
        <w:spacing w:line="372" w:lineRule="auto" w:after="160"/>
        <w:ind w:firstLine="403"/>
        <w:jc w:val="both"/>
      </w:pPr>
      <w:r>
        <w:t>본 과제에서는 보건복지부가 시행하는 노인맞춤돌봄서비스를 중심으로 정책의 도입 배경, 대상과 급여 내용, 전달체계 및 의의를 정리한다. 이어 현장에서 제기되는 사각지대, 지역별 공급 격차, 돌봄인력의 노동조건, 보건·의료서비스와의 연계 부족을 분석하고 향후 개선방안을 제안하고자 한다.</w:t>
      </w:r>
    </w:p>
    <w:p>
      <w:pPr>
        <w:pStyle w:val="Heading1"/>
        <w:keepNext/>
      </w:pPr>
      <w:r>
        <w:t>Ⅱ. 본론</w:t>
      </w:r>
    </w:p>
    <w:p>
      <w:pPr>
        <w:pStyle w:val="Heading2"/>
        <w:keepNext/>
      </w:pPr>
      <w:r>
        <w:t>1. 노인맞춤돌봄서비스의 도입 배경과 목적</w:t>
      </w:r>
    </w:p>
    <w:p>
      <w:pPr>
        <w:spacing w:line="372" w:lineRule="auto" w:after="160"/>
        <w:ind w:firstLine="403"/>
        <w:jc w:val="both"/>
      </w:pPr>
      <w:r>
        <w:t>노인맞춤돌봄서비스는 분절적으로 운영되던 기존 노인돌봄사업을 통합하여 개인별 욕구와 위험 수준에 따라 서비스를 제공하려는 목적으로 도입되었다. 독거·조손·고령부부 가구가 증가하는 상황에서는 질병이나 경제적 빈곤뿐 아니라 안전사고, 우울, 관계 단절과 같은 복합적 위험을 조기에 확인할 필요가 있다. 따라서 이 정책은 문제가 심각해진 뒤 시설입소나 의료이용으로 대응하는 사후적 방식보다 예방적 사례관리와 생활권 중심 지원을 강조한다.</w:t>
      </w:r>
    </w:p>
    <w:p>
      <w:pPr>
        <w:spacing w:line="372" w:lineRule="auto" w:after="160"/>
        <w:ind w:firstLine="403"/>
        <w:jc w:val="both"/>
      </w:pPr>
      <w:r>
        <w:t>정책의 핵심 목적은 첫째, 안전 확인과 사회참여 지원을 통해 고독사 및 사회적 고립 위험을 줄이는 것이다. 둘째, 영양·건강·신체기능 유지에 필요한 교육과 생활지원을 제공하여 기능 저하를 늦추는 것이다. 셋째, 민간후원, 보건소, 치매안심센터, 의료기관 등 지역자원을 연계하여 노인이 필요한 서비스를 통합적으로 이용하도록 돕는 것이다.</w:t>
      </w:r>
    </w:p>
    <w:p>
      <w:pPr>
        <w:pStyle w:val="Heading2"/>
        <w:keepNext/>
      </w:pPr>
      <w:r>
        <w:t>2. 정책 대상과 서비스 내용</w:t>
      </w:r>
    </w:p>
    <w:p>
      <w:pPr>
        <w:spacing w:line="372" w:lineRule="auto" w:after="160"/>
        <w:ind w:firstLine="403"/>
        <w:jc w:val="both"/>
      </w:pPr>
      <w:r>
        <w:t>주요 대상은 일상생활 영위가 어려운 취약노인 가운데 돌봄이 필요하다고 인정되는 사람이다. 선정 과정에서는 독거 여부만을 기준으로 하지 않고 사회적 관계, 신체·정신건강, 경제상태, 주거환경, 일상생활 수행능력 등을 종합적으로 조사한다. 장기요양보험 수급자처럼 이미 유사한 재가급여를 받는 경우에는 중복지원 조정이 이루어지며, 이는 한정된 재원을 돌봄 공백이 큰 노인에게 배분하기 위한 장치이다.</w:t>
      </w:r>
    </w:p>
    <w:p>
      <w:pPr>
        <w:spacing w:line="372" w:lineRule="auto" w:after="160"/>
        <w:ind w:firstLine="403"/>
        <w:jc w:val="both"/>
      </w:pPr>
      <w:r>
        <w:t>서비스는 안전지원, 사회참여, 생활교육, 일상생활 지원, 민간자원 연계 및 특화서비스 등으로 구성된다. 안전지원에는 방문·전화·정보통신기술을 활용한 안부 확인과 재난·보건교육이 포함된다. 사회참여는 문화·여가활동과 자조모임을 통해 관계망을 회복하도록 돕고, 생활교육은 영양·운동·인지활동 및 우울예방을 지원한다. 이동이나 가사 수행이 어려운 경우 외출동행, 식사관리, 청소 등의 일상생활 지원을 제공하며, 고립과 우울 위험이 높은 노인에게는 집중적인 상담과 집단활동을 연계할 수 있다.</w:t>
      </w:r>
    </w:p>
    <w:p>
      <w:pPr>
        <w:pStyle w:val="Heading2"/>
        <w:keepNext/>
      </w:pPr>
      <w:r>
        <w:t>3. 전달체계와 수행인력</w:t>
      </w:r>
    </w:p>
    <w:p>
      <w:pPr>
        <w:spacing w:line="372" w:lineRule="auto" w:after="160"/>
        <w:ind w:firstLine="403"/>
        <w:jc w:val="both"/>
      </w:pPr>
      <w:r>
        <w:t>정책은 보건복지부의 지침을 바탕으로 지방자치단체가 지역계획을 수립하고, 권역별 수행기관이 대상자 조사와 서비스 제공을 담당하는 구조이다. 전담사회복지사는 상담, 욕구사정, 서비스계획 수립, 자원연계와 생활지원사 업무 지원을 수행한다. 생활지원사는 정기적인 방문과 연락을 통해 생활상태의 변화를 관찰하고 이상 징후를 전달한다. 이러한 인적 관계는 단순한 가사지원을 넘어 위험을 조기에 발견하는 지역사회 안전망으로 기능한다.</w:t>
      </w:r>
    </w:p>
    <w:p>
      <w:pPr>
        <w:spacing w:line="372" w:lineRule="auto" w:after="160"/>
        <w:ind w:firstLine="403"/>
        <w:jc w:val="both"/>
      </w:pPr>
      <w:r>
        <w:t>예를 들어 홀로 거주하는 노인이 최근 식사를 거르고 외출을 중단했다면 생활지원사는 이를 단순한 생활습관 변화로 보지 않고 건강 악화나 우울 위험으로 판단하여 전담사회복지사에게 보고할 수 있다. 이후 보건소 건강관리, 치매검사, 정신건강 상담, 식사지원 등을 연계한다면 하나의 접점에서 복합욕구를 다루는 사례관리 효과가 발생한다.</w:t>
      </w:r>
    </w:p>
    <w:p>
      <w:pPr>
        <w:pStyle w:val="Heading2"/>
        <w:keepNext/>
      </w:pPr>
      <w:r>
        <w:t>4. 정책의 성과와 한계</w:t>
      </w:r>
    </w:p>
    <w:p>
      <w:pPr>
        <w:spacing w:line="372" w:lineRule="auto" w:after="160"/>
        <w:ind w:firstLine="403"/>
        <w:jc w:val="both"/>
      </w:pPr>
      <w:r>
        <w:t>노인맞춤돌봄서비스의 가장 큰 의의는 비교적 경미한 돌봄 필요 단계에서 개입함으로써 중증화와 사회적 고립을 예방한다는 점이다. 또한 정기적 대면접촉을 통해 행정자료만으로 파악하기 어려운 위기가구를 발견할 수 있으며, 시설이 아니라 지역사회 거주를 지원한다는 점에서 노인의 자기결정권과 생활의 연속성을 높인다.</w:t>
      </w:r>
    </w:p>
    <w:p>
      <w:pPr>
        <w:spacing w:line="372" w:lineRule="auto" w:after="160"/>
        <w:ind w:firstLine="403"/>
        <w:jc w:val="both"/>
      </w:pPr>
      <w:r>
        <w:t>그러나 신청주의와 제한된 현장인력으로 인해 정보 접근성이 낮은 노인이 누락될 수 있다. 농어촌은 이동거리와 자원 부족 때문에 동일한 서비스 계획을 세워도 실제 연계가 어렵고, 도시지역에서도 수행기관별 인력과 프로그램의 질이 다를 수 있다. 짧은 방문시간과 과도한 담당인원은 관계 형성과 위험관찰을 어렵게 하며, 생활지원사의 낮은 고용안정성과 감정노동은 서비스 지속성을 저하시킨다. 디지털 기기를 활용한 안전확인은 효율적이지만 기기 오류, 개인정보 보호, 디지털 소외를 함께 고려하지 않으면 대면돌봄을 대체하는 수단으로 오용될 가능성이 있다.</w:t>
      </w:r>
    </w:p>
    <w:p>
      <w:pPr>
        <w:pStyle w:val="Heading2"/>
        <w:keepNext/>
      </w:pPr>
      <w:r>
        <w:t>5. 향후 개선 및 발전방안</w:t>
      </w:r>
    </w:p>
    <w:p>
      <w:pPr>
        <w:spacing w:line="372" w:lineRule="auto" w:after="160"/>
        <w:ind w:firstLine="403"/>
        <w:jc w:val="both"/>
      </w:pPr>
      <w:r>
        <w:t>첫째, 위기정보와 지역 인적안전망을 활용한 선제적 발굴을 강화해야 한다. 전기·수도 사용의 급격한 변화, 장기 미수진, 복지급여 변동 등의 정보를 법적 근거와 개인정보 보호 원칙 아래 활용하고, 이웃·약국·우체국·관리사무소 등 생활권 접점을 신고체계와 연결할 필요가 있다. 다만 자동화된 위험점수만으로 대상자를 결정하지 말고 사회복지사의 면접과 당사자 동의를 결합해야 한다.</w:t>
      </w:r>
    </w:p>
    <w:p>
      <w:pPr>
        <w:spacing w:line="372" w:lineRule="auto" w:after="160"/>
        <w:ind w:firstLine="403"/>
        <w:jc w:val="both"/>
      </w:pPr>
      <w:r>
        <w:t>둘째, 지역 간 돌봄격차를 줄이기 위한 차등적 재정지원이 필요하다. 농산어촌과 인구감소지역에는 이동시간, 교통비, 인력 확보 비용을 반영한 별도 단가를 적용하고, 소규모 지역에는 보건소·복지관·장기요양기관이 공동으로 서비스를 제공하는 협력모델을 지원할 수 있다.</w:t>
      </w:r>
    </w:p>
    <w:p>
      <w:pPr>
        <w:spacing w:line="372" w:lineRule="auto" w:after="160"/>
        <w:ind w:firstLine="403"/>
        <w:jc w:val="both"/>
      </w:pPr>
      <w:r>
        <w:t>셋째, 전담사회복지사와 생활지원사의 처우와 전문성을 개선해야 한다. 적정 담당인원 기준, 교육시간 보장, 위험상황 대응 매뉴얼, 정기 슈퍼비전과 심리지원을 제도화해야 한다. 숙련 인력이 장기간 근무할 수 있도록 고용안정과 보상체계를 개선하는 일은 곧 서비스 품질관리와 연결된다.</w:t>
      </w:r>
    </w:p>
    <w:p>
      <w:pPr>
        <w:spacing w:line="372" w:lineRule="auto" w:after="160"/>
        <w:ind w:firstLine="403"/>
        <w:jc w:val="both"/>
      </w:pPr>
      <w:r>
        <w:t>넷째, 2026년 본격화된 의료·요양·돌봄 통합지원 체계와 연계하여 단순한 서비스 목록 제공을 넘어 공동 사례회의와 통합지원계획을 운영해야 한다. 노인맞춤돌봄서비스 대상자의 건강상태가 악화되면 방문진료와 장기요양 신청을 연결하고, 퇴원환자에게는 식사·주거·일상생활 지원을 신속히 배치해야 한다. 마지막으로 정보통신기술은 대면관계를 보완하는 범위에서 사용하고, 데이터 최소수집과 접근권한 관리, 오작동 대응절차를 명확히 해야 한다.</w:t>
      </w:r>
    </w:p>
    <w:p>
      <w:r>
        <w:br w:type="page"/>
      </w:r>
    </w:p>
    <w:p>
      <w:pPr>
        <w:pStyle w:val="Heading1"/>
        <w:keepNext/>
      </w:pPr>
      <w:r>
        <w:t>Ⅲ. 결론</w:t>
      </w:r>
    </w:p>
    <w:p>
      <w:pPr>
        <w:spacing w:line="372" w:lineRule="auto" w:after="160"/>
        <w:ind w:firstLine="403"/>
        <w:jc w:val="both"/>
      </w:pPr>
      <w:r>
        <w:t>노인맞춤돌봄서비스는 취약노인의 안전과 사회적 관계를 보호하고 기능 저하를 예방함으로써 지역사회 계속 거주를 지원하는 핵심 노인복지정책이다. 특히 생활지원사와 전담사회복지사가 정기적으로 노인의 변화를 확인한다는 점에서 고독사 예방과 복지사각지대 발굴에 중요한 의미가 있다. 그러나 대상자 발굴의 한계, 지역별 자원 격차, 종사자의 불안정한 노동환경, 의료·요양체계와의 연계 부족은 정책 효과를 제한한다.</w:t>
      </w:r>
    </w:p>
    <w:p>
      <w:pPr>
        <w:spacing w:line="372" w:lineRule="auto" w:after="160"/>
        <w:ind w:firstLine="403"/>
        <w:jc w:val="both"/>
      </w:pPr>
      <w:r>
        <w:t>향후에는 위험정보와 인적안전망을 결합한 적극적 발굴, 지역 여건을 반영한 재정배분, 돌봄인력의 전문성과 고용안정 강화, 통합돌봄체계와의 공동 사례관리, 사람 중심의 디지털 활용이 이루어져야 한다. 노인을 보호의 대상으로만 보는 것이 아니라 지역사회 안에서 삶을 선택하고 관계를 유지하는 시민으로 존중할 때 정책의 예방적·권리보장적 성격이 더욱 강화될 것이다.</w:t>
      </w:r>
    </w:p>
    <w:p>
      <w:pPr>
        <w:pStyle w:val="Heading1"/>
        <w:keepNext/>
      </w:pPr>
      <w:r>
        <w:t>참고문헌</w:t>
      </w:r>
    </w:p>
    <w:p>
      <w:pPr>
        <w:spacing w:after="100"/>
        <w:ind w:left="360"/>
      </w:pPr>
      <w:r>
        <w:t>보건복지부. (2024). 2024년 노인맞춤돌봄서비스 사업안내.</w:t>
      </w:r>
    </w:p>
    <w:p>
      <w:pPr>
        <w:spacing w:after="100"/>
        <w:ind w:left="360"/>
      </w:pPr>
      <w:r>
        <w:t>보건복지부. (2026). 고독사위기대응시스템 개통: 위험군 적극 발굴·맞춤 지원 강화.</w:t>
      </w:r>
    </w:p>
    <w:p>
      <w:pPr>
        <w:spacing w:after="100"/>
        <w:ind w:left="360"/>
      </w:pPr>
      <w:r>
        <w:t>보건복지부. (2026). 의료·요양 등 지역돌봄의 통합지원 관련 정책자료.</w:t>
      </w:r>
    </w:p>
    <w:p>
      <w:pPr>
        <w:spacing w:after="100"/>
        <w:ind w:left="360"/>
      </w:pPr>
      <w:r>
        <w:t>국가법령정보센터. (2026). 노인복지법. https://www.law.go.kr</w:t>
      </w:r>
    </w:p>
    <w:p>
      <w:pPr>
        <w:spacing w:after="100"/>
        <w:ind w:left="360"/>
      </w:pPr>
      <w:r>
        <w:t>보건복지부. 노인정책 안내. https://www.mohw.go.kr</w:t>
      </w:r>
    </w:p>
    <w:p>
      <w:r>
        <w:br w:type="page"/>
      </w:r>
    </w:p>
    <w:p>
      <w:pPr>
        <w:spacing w:before="1000"/>
        <w:jc w:val="center"/>
      </w:pPr>
      <w:r>
        <w:rPr>
          <w:b/>
          <w:color w:val="1F4D78"/>
          <w:sz w:val="40"/>
        </w:rPr>
        <w:t>과제 참고자료 이용 안내</w:t>
      </w:r>
    </w:p>
    <w:p>
      <w:pPr>
        <w:spacing w:before="260" w:line="348" w:lineRule="auto"/>
        <w:jc w:val="center"/>
      </w:pPr>
      <w:r>
        <w:rPr>
          <w:b/>
          <w:color w:val="1F4D78"/>
          <w:sz w:val="24"/>
        </w:rPr>
        <w:t>⚠️ 주의사항</w:t>
      </w:r>
    </w:p>
    <w:p>
      <w:pPr>
        <w:spacing w:before="80" w:line="348" w:lineRule="auto"/>
        <w:jc w:val="center"/>
      </w:pPr>
      <w:r>
        <w:rPr>
          <w:b w:val="0"/>
          <w:sz w:val="21"/>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260" w:line="348" w:lineRule="auto"/>
        <w:jc w:val="center"/>
      </w:pPr>
      <w:r>
        <w:rPr>
          <w:b/>
          <w:color w:val="1F4D78"/>
          <w:sz w:val="24"/>
        </w:rPr>
        <w:t>📌 과제 수정이 어려우신가요?</w:t>
      </w:r>
    </w:p>
    <w:p>
      <w:pPr>
        <w:spacing w:before="80" w:line="348" w:lineRule="auto"/>
        <w:jc w:val="center"/>
      </w:pPr>
      <w:r>
        <w:rPr>
          <w:b w:val="0"/>
          <w:sz w:val="21"/>
        </w:rPr>
        <w:t>국민원격교육관리센터에서 1:1 과제 수정 도움을 드립니다.</w:t>
        <w:br/>
        <w:t>아래 연락처로 문의해 주세요.</w:t>
      </w:r>
    </w:p>
    <w:p>
      <w:pPr>
        <w:spacing w:before="80" w:line="348" w:lineRule="auto"/>
        <w:jc w:val="center"/>
      </w:pPr>
      <w:r>
        <w:rPr>
          <w:b w:val="0"/>
          <w:sz w:val="21"/>
        </w:rPr>
        <w:t>📞 전화: 050-7878-7044</w:t>
        <w:br/>
        <w:t>💬 카카오톡: @국민원격교육관리센터</w:t>
        <w:br/>
        <w:t>🕐 운영시간: 평일 10:00–19:00</w:t>
        <w:br/>
        <w:t>🌐 웹사이트: korealms.co.kr</w:t>
      </w:r>
    </w:p>
    <w:sectPr w:rsidR="00FC693F" w:rsidRPr="0006063C" w:rsidSect="00034616">
      <w:headerReference w:type="default" r:id="rId9"/>
      <w:footerReference w:type="default" r:id="rId10"/>
      <w:pgSz w:w="11909" w:h="16834"/>
      <w:pgMar w:top="1123" w:right="1296" w:bottom="1080" w:left="1296"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5A5A5A"/>
        <w:sz w:val="16"/>
      </w:rPr>
      <w:t>사회복지정책론 |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맑은 고딕" w:hAnsi="맑은 고딕"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맑은 고딕" w:hAnsi="맑은 고딕" w:eastAsia="맑은 고딕"/>
      <w:b/>
      <w:bCs/>
      <w:color w:val="1F4D78"/>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맑은 고딕" w:hAnsi="맑은 고딕" w:eastAsia="맑은 고딕"/>
      <w:b/>
      <w:bCs/>
      <w:color w:val="1F4D78"/>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맑은 고딕" w:hAnsi="맑은 고딕" w:eastAsia="맑은 고딕"/>
      <w:b/>
      <w:bCs/>
      <w:color w:val="28282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