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960"/>
        <w:jc w:val="center"/>
      </w:pPr>
      <w:r>
        <w:rPr>
          <w:b/>
          <w:color w:val="1F4D78"/>
          <w:sz w:val="52"/>
        </w:rPr>
        <w:t>사회복지학개론</w:t>
      </w:r>
    </w:p>
    <w:p>
      <w:pPr>
        <w:jc w:val="center"/>
      </w:pPr>
      <w:r>
        <w:rPr>
          <w:color w:val="5A5A5A"/>
          <w:sz w:val="32"/>
        </w:rPr>
        <w:t>과제 보고서</w:t>
      </w:r>
    </w:p>
    <w:p>
      <w:pPr>
        <w:spacing w:before="600"/>
        <w:jc w:val="center"/>
      </w:pPr>
      <w:r>
        <w:rPr>
          <w:b/>
          <w:color w:val="1F4D78"/>
          <w:sz w:val="22"/>
        </w:rPr>
        <w:t>과제 주제</w:t>
      </w:r>
    </w:p>
    <w:p>
      <w:pPr>
        <w:spacing w:line="324" w:lineRule="auto"/>
        <w:ind w:left="576" w:right="576"/>
        <w:jc w:val="center"/>
      </w:pPr>
      <w:r>
        <w:t>기초연금제도와 노인장기요양보험제도에 대해서 작성하시오.</w:t>
      </w:r>
    </w:p>
    <w:p>
      <w:pPr>
        <w:spacing w:before="520"/>
        <w:jc w:val="center"/>
      </w:pPr>
      <w:r>
        <w:rPr>
          <w:b/>
          <w:color w:val="1F4D78"/>
          <w:sz w:val="30"/>
        </w:rPr>
        <w:t>목  차</w:t>
      </w:r>
    </w:p>
    <w:p>
      <w:pPr>
        <w:spacing w:after="80"/>
        <w:ind w:left="1800" w:right="1008"/>
      </w:pPr>
      <w:r>
        <w:t>Ⅰ. 서론</w:t>
      </w:r>
    </w:p>
    <w:p>
      <w:pPr>
        <w:spacing w:after="80"/>
        <w:ind w:left="1800" w:right="1008"/>
      </w:pPr>
      <w:r>
        <w:t>Ⅱ. 본론</w:t>
      </w:r>
    </w:p>
    <w:p>
      <w:pPr>
        <w:spacing w:after="80"/>
        <w:ind w:left="1800" w:right="1008"/>
      </w:pPr>
      <w:r>
        <w:t xml:space="preserve">   1. 기초연금제도의 개념과 도입 목적</w:t>
      </w:r>
    </w:p>
    <w:p>
      <w:pPr>
        <w:spacing w:after="80"/>
        <w:ind w:left="1800" w:right="1008"/>
      </w:pPr>
      <w:r>
        <w:t xml:space="preserve">   2. 기초연금의 급여와 재원 및 전달체계</w:t>
      </w:r>
    </w:p>
    <w:p>
      <w:pPr>
        <w:spacing w:after="80"/>
        <w:ind w:left="1800" w:right="1008"/>
      </w:pPr>
      <w:r>
        <w:t xml:space="preserve">   3. 노인장기요양보험의 개념과 목적</w:t>
      </w:r>
    </w:p>
    <w:p>
      <w:pPr>
        <w:spacing w:after="80"/>
        <w:ind w:left="1800" w:right="1008"/>
      </w:pPr>
      <w:r>
        <w:t xml:space="preserve">   4. 장기요양급여의 종류와 재원</w:t>
      </w:r>
    </w:p>
    <w:p>
      <w:pPr>
        <w:spacing w:after="80"/>
        <w:ind w:left="1800" w:right="1008"/>
      </w:pPr>
      <w:r>
        <w:t xml:space="preserve">   5. 두 제도의 비교와 상호보완성</w:t>
      </w:r>
    </w:p>
    <w:p>
      <w:pPr>
        <w:spacing w:after="80"/>
        <w:ind w:left="1800" w:right="1008"/>
      </w:pPr>
      <w:r>
        <w:t xml:space="preserve">   6. 문제점과 발전방안</w:t>
      </w:r>
    </w:p>
    <w:p>
      <w:pPr>
        <w:spacing w:after="80"/>
        <w:ind w:left="1800" w:right="1008"/>
      </w:pPr>
      <w:r>
        <w:t>Ⅲ. 결론</w:t>
      </w:r>
    </w:p>
    <w:p>
      <w:pPr>
        <w:spacing w:after="80"/>
        <w:ind w:left="1800" w:right="1008"/>
      </w:pPr>
      <w:r>
        <w:t>참고문헌</w:t>
      </w:r>
    </w:p>
    <w:p>
      <w:pPr>
        <w:spacing w:before="360"/>
      </w:pPr>
      <w:r>
        <w:t>제출일:         년      월      일</w:t>
        <w:br/>
        <w:t>제출자: ____________________</w:t>
      </w:r>
    </w:p>
    <w:p>
      <w:r>
        <w:br w:type="page"/>
      </w:r>
    </w:p>
    <w:p>
      <w:pPr>
        <w:pStyle w:val="Heading2"/>
        <w:keepNext/>
      </w:pPr>
      <w:r>
        <w:t>두 제도의 핵심 비교</w:t>
      </w:r>
    </w:p>
    <w:tbl>
      <w:tblPr>
        <w:tblW w:type="auto" w:w="0"/>
        <w:jc w:val="center"/>
        <w:tblLayout w:type="fixed"/>
        <w:tblLook w:firstColumn="1" w:firstRow="1" w:lastColumn="0" w:lastRow="0" w:noHBand="0" w:noVBand="1" w:val="04A0"/>
      </w:tblPr>
      <w:tblGrid>
        <w:gridCol w:w="3106"/>
        <w:gridCol w:w="3106"/>
        <w:gridCol w:w="3106"/>
      </w:tblGrid>
      <w:tr>
        <w:trPr>
          <w:tblHeader w:val="true"/>
        </w:trPr>
        <w:tc>
          <w:tcPr>
            <w:tcW w:type="dxa" w:w="1728"/>
            <w:shd w:fill="E8EEF5"/>
          </w:tcPr>
          <w:p>
            <w:r>
              <w:rPr>
                <w:b/>
              </w:rPr>
              <w:t>구분</w:t>
            </w:r>
          </w:p>
        </w:tc>
        <w:tc>
          <w:tcPr>
            <w:tcW w:type="dxa" w:w="3600"/>
            <w:shd w:fill="E8EEF5"/>
          </w:tcPr>
          <w:p>
            <w:r>
              <w:rPr>
                <w:b/>
              </w:rPr>
              <w:t>기초연금</w:t>
            </w:r>
          </w:p>
        </w:tc>
        <w:tc>
          <w:tcPr>
            <w:tcW w:type="dxa" w:w="3600"/>
            <w:shd w:fill="E8EEF5"/>
          </w:tcPr>
          <w:p>
            <w:r>
              <w:rPr>
                <w:b/>
              </w:rPr>
              <w:t>노인장기요양보험</w:t>
            </w:r>
          </w:p>
        </w:tc>
      </w:tr>
      <w:tr>
        <w:tc>
          <w:tcPr>
            <w:tcW w:type="dxa" w:w="1728"/>
            <w:vAlign w:val="center"/>
          </w:tcPr>
          <w:p>
            <w:r>
              <w:t>주요 위험</w:t>
            </w:r>
          </w:p>
        </w:tc>
        <w:tc>
          <w:tcPr>
            <w:tcW w:type="dxa" w:w="3600"/>
            <w:vAlign w:val="center"/>
          </w:tcPr>
          <w:p>
            <w:r>
              <w:t>노후소득 부족</w:t>
            </w:r>
          </w:p>
        </w:tc>
        <w:tc>
          <w:tcPr>
            <w:tcW w:type="dxa" w:w="3600"/>
            <w:vAlign w:val="center"/>
          </w:tcPr>
          <w:p>
            <w:r>
              <w:t>장기적 돌봄 필요</w:t>
            </w:r>
          </w:p>
        </w:tc>
      </w:tr>
      <w:tr>
        <w:tc>
          <w:tcPr>
            <w:tcW w:type="dxa" w:w="1728"/>
            <w:vAlign w:val="center"/>
          </w:tcPr>
          <w:p>
            <w:r>
              <w:t>급여 형태</w:t>
            </w:r>
          </w:p>
        </w:tc>
        <w:tc>
          <w:tcPr>
            <w:tcW w:type="dxa" w:w="3600"/>
            <w:vAlign w:val="center"/>
          </w:tcPr>
          <w:p>
            <w:r>
              <w:t>현금급여</w:t>
            </w:r>
          </w:p>
        </w:tc>
        <w:tc>
          <w:tcPr>
            <w:tcW w:type="dxa" w:w="3600"/>
            <w:vAlign w:val="center"/>
          </w:tcPr>
          <w:p>
            <w:r>
              <w:t>재가·시설·특별현금급여</w:t>
            </w:r>
          </w:p>
        </w:tc>
      </w:tr>
      <w:tr>
        <w:tc>
          <w:tcPr>
            <w:tcW w:type="dxa" w:w="1728"/>
            <w:vAlign w:val="center"/>
          </w:tcPr>
          <w:p>
            <w:r>
              <w:t>선정 기준</w:t>
            </w:r>
          </w:p>
        </w:tc>
        <w:tc>
          <w:tcPr>
            <w:tcW w:type="dxa" w:w="3600"/>
            <w:vAlign w:val="center"/>
          </w:tcPr>
          <w:p>
            <w:r>
              <w:t>연령 및 소득인정액</w:t>
            </w:r>
          </w:p>
        </w:tc>
        <w:tc>
          <w:tcPr>
            <w:tcW w:type="dxa" w:w="3600"/>
            <w:vAlign w:val="center"/>
          </w:tcPr>
          <w:p>
            <w:r>
              <w:t>연령·질병 및 장기요양 필요도</w:t>
            </w:r>
          </w:p>
        </w:tc>
      </w:tr>
      <w:tr>
        <w:tc>
          <w:tcPr>
            <w:tcW w:type="dxa" w:w="1728"/>
            <w:vAlign w:val="center"/>
          </w:tcPr>
          <w:p>
            <w:r>
              <w:t>주요 재원</w:t>
            </w:r>
          </w:p>
        </w:tc>
        <w:tc>
          <w:tcPr>
            <w:tcW w:type="dxa" w:w="3600"/>
            <w:vAlign w:val="center"/>
          </w:tcPr>
          <w:p>
            <w:r>
              <w:t>국가·지방자치단체 조세</w:t>
            </w:r>
          </w:p>
        </w:tc>
        <w:tc>
          <w:tcPr>
            <w:tcW w:type="dxa" w:w="3600"/>
            <w:vAlign w:val="center"/>
          </w:tcPr>
          <w:p>
            <w:r>
              <w:t>보험료·국고지원·본인부담</w:t>
            </w:r>
          </w:p>
        </w:tc>
      </w:tr>
      <w:tr>
        <w:tc>
          <w:tcPr>
            <w:tcW w:type="dxa" w:w="1728"/>
            <w:vAlign w:val="center"/>
          </w:tcPr>
          <w:p>
            <w:r>
              <w:t>중심 기관</w:t>
            </w:r>
          </w:p>
        </w:tc>
        <w:tc>
          <w:tcPr>
            <w:tcW w:type="dxa" w:w="3600"/>
            <w:vAlign w:val="center"/>
          </w:tcPr>
          <w:p>
            <w:r>
              <w:t>지자체·국민연금공단</w:t>
            </w:r>
          </w:p>
        </w:tc>
        <w:tc>
          <w:tcPr>
            <w:tcW w:type="dxa" w:w="3600"/>
            <w:vAlign w:val="center"/>
          </w:tcPr>
          <w:p>
            <w:r>
              <w:t>국민건강보험공단</w:t>
            </w:r>
          </w:p>
        </w:tc>
      </w:tr>
    </w:tbl>
    <w:p/>
    <w:p>
      <w:pPr>
        <w:pStyle w:val="Heading1"/>
        <w:keepNext/>
      </w:pPr>
      <w:r>
        <w:t>Ⅰ. 서론</w:t>
      </w:r>
    </w:p>
    <w:p>
      <w:pPr>
        <w:spacing w:line="372" w:lineRule="auto" w:after="160"/>
        <w:ind w:firstLine="403"/>
        <w:jc w:val="both"/>
      </w:pPr>
      <w:r>
        <w:t>고령화가 빠르게 진행되는 한국사회에서 노후소득과 돌봄은 서로 분리하기 어려운 핵심 사회보장 과제이다. 고령자는 퇴직으로 근로소득이 감소하는 동시에 만성질환과 기능저하로 의료·돌봄비용이 증가할 가능성이 높다. 이러한 위험에 대응하기 위해 국가는 조세를 재원으로 하는 기초연금제도와 사회보험 방식의 노인장기요양보험제도를 운영하고 있다.</w:t>
      </w:r>
    </w:p>
    <w:p>
      <w:pPr>
        <w:spacing w:line="372" w:lineRule="auto" w:after="160"/>
        <w:ind w:firstLine="403"/>
        <w:jc w:val="both"/>
      </w:pPr>
      <w:r>
        <w:t>기초연금은 일정한 소득인정액 이하의 65세 이상 노인에게 현금급여를 제공하여 생활안정을 지원하는 소득보장제도이다. 노인장기요양보험은 고령이나 노인성 질병으로 일상생활을 혼자 수행하기 어려운 사람에게 재가·시설급여 등을 제공하는 돌봄보장제도이다. 본 과제에서는 두 제도의 도입 배경, 대상, 급여, 재원과 전달체계를 정리하고 공통점과 차이점 및 발전과제를 살펴본다.</w:t>
      </w:r>
    </w:p>
    <w:p>
      <w:pPr>
        <w:pStyle w:val="Heading1"/>
        <w:keepNext/>
      </w:pPr>
      <w:r>
        <w:t>Ⅱ. 본론</w:t>
      </w:r>
    </w:p>
    <w:p>
      <w:pPr>
        <w:pStyle w:val="Heading2"/>
        <w:keepNext/>
      </w:pPr>
      <w:r>
        <w:t>1. 기초연금제도의 개념과 도입 목적</w:t>
      </w:r>
    </w:p>
    <w:p>
      <w:pPr>
        <w:spacing w:line="372" w:lineRule="auto" w:after="160"/>
        <w:ind w:firstLine="403"/>
        <w:jc w:val="both"/>
      </w:pPr>
      <w:r>
        <w:t>기초연금은 노후의 안정적인 소득기반을 제공하여 노인의 생활안정과 복지증진에 기여하는 제도이다. 국민연금이 가입기간과 보험료 납부이력에 기초한 사회보험이라면, 기초연금은 소득·재산 수준을 고려하여 조세로 급여를 지급하는 비기여적 소득보장제도라는 특징을 가진다. 국민연금제도가 성숙하기 전 충분한 연금권을 확보하지 못한 현세대 노인의 빈곤을 완화하기 위한 성격도 크다.</w:t>
      </w:r>
    </w:p>
    <w:p>
      <w:pPr>
        <w:spacing w:line="372" w:lineRule="auto" w:after="160"/>
        <w:ind w:firstLine="403"/>
        <w:jc w:val="both"/>
      </w:pPr>
      <w:r>
        <w:t>수급대상은 국내에 거주하는 65세 이상 국민 가운데 가구의 소득인정액이 매년 고시되는 선정기준액 이하인 사람이다. 소득인정액은 월 소득평가액과 재산의 소득환산액을 합산하여 산정한다. 따라서 단순히 근로소득만 보는 것이 아니라 금융·일반재산, 부채, 가구유형 등을 종합적으로 반영한다. 직역연금 수급권자와 그 배우자는 법령이 정한 예외를 제외하고 원칙적으로 대상에서 제외될 수 있다.</w:t>
      </w:r>
    </w:p>
    <w:p>
      <w:pPr>
        <w:pStyle w:val="Heading2"/>
        <w:keepNext/>
      </w:pPr>
      <w:r>
        <w:t>2. 기초연금의 급여와 재원 및 전달체계</w:t>
      </w:r>
    </w:p>
    <w:p>
      <w:pPr>
        <w:spacing w:line="372" w:lineRule="auto" w:after="160"/>
        <w:ind w:firstLine="403"/>
        <w:jc w:val="both"/>
      </w:pPr>
      <w:r>
        <w:t>급여액은 기준연금액을 토대로 국민연금 급여액, 부부 동시 수급 여부, 소득역전 방지 등을 고려해 개인별로 조정된다. 부부가 모두 받거나 소득인정액이 선정기준액에 가까운 경우 감액이 적용될 수 있다. 이는 수급자와 비수급자 사이에 급여 때문에 소득순위가 뒤바뀌는 현상을 줄이고 제한된 재원을 배분하려는 장치이다.</w:t>
      </w:r>
    </w:p>
    <w:p>
      <w:pPr>
        <w:spacing w:line="372" w:lineRule="auto" w:after="160"/>
        <w:ind w:firstLine="403"/>
        <w:jc w:val="both"/>
      </w:pPr>
      <w:r>
        <w:t>재원은 국가와 지방자치단체가 조세로 분담한다. 신청은 주소지 읍·면·동 행정복지센터, 국민연금공단 지사 또는 복지로 등을 통해 이루어지며, 소득·재산 조사와 수급자 결정 후 매월 현금으로 지급된다. 신청주의를 기본으로 하므로 제도를 모르거나 거동이 불편한 노인이 누락되지 않도록 안내와 찾아뵙는 서비스가 중요하다.</w:t>
      </w:r>
    </w:p>
    <w:p>
      <w:pPr>
        <w:pStyle w:val="Heading2"/>
        <w:keepNext/>
      </w:pPr>
      <w:r>
        <w:t>3. 노인장기요양보험의 개념과 목적</w:t>
      </w:r>
    </w:p>
    <w:p>
      <w:pPr>
        <w:spacing w:line="372" w:lineRule="auto" w:after="160"/>
        <w:ind w:firstLine="403"/>
        <w:jc w:val="both"/>
      </w:pPr>
      <w:r>
        <w:t>노인장기요양보험은 고령이나 노인성 질병으로 6개월 이상 혼자서 일상생활을 수행하기 어렵다고 인정되는 사람에게 신체활동·가사활동 지원 또는 시설급여 등을 제공하는 사회보험제도이다. 가족에게 집중되어 있던 장기요양 부담을 사회적으로 분담하고, 노인의 건강증진과 생활안정 및 가족의 부담 경감을 목적으로 한다.</w:t>
      </w:r>
    </w:p>
    <w:p>
      <w:pPr>
        <w:spacing w:line="372" w:lineRule="auto" w:after="160"/>
        <w:ind w:firstLine="403"/>
        <w:jc w:val="both"/>
      </w:pPr>
      <w:r>
        <w:t>신청대상은 65세 이상 노인 또는 65세 미만이지만 치매·뇌혈관성 질환 등 법령상 노인성 질병을 가진 사람이다. 신청 후 국민건강보험공단 직원의 인정조사, 의사소견서, 등급판정위원회의 심의를 거쳐 장기요양등급이 결정된다. 여기서 연령이나 질병명만으로 자동 수급하는 것이 아니라 심신기능 상태와 일상생활에서 필요한 도움의 정도를 종합적으로 판단한다.</w:t>
      </w:r>
    </w:p>
    <w:p>
      <w:pPr>
        <w:pStyle w:val="Heading2"/>
        <w:keepNext/>
      </w:pPr>
      <w:r>
        <w:t>4. 장기요양급여의 종류와 재원</w:t>
      </w:r>
    </w:p>
    <w:p>
      <w:pPr>
        <w:spacing w:line="372" w:lineRule="auto" w:after="160"/>
        <w:ind w:firstLine="403"/>
        <w:jc w:val="both"/>
      </w:pPr>
      <w:r>
        <w:t>장기요양급여는 크게 재가급여, 시설급여와 특별현금급여로 구분된다. 재가급여에는 방문요양, 방문목욕, 방문간호, 주·야간보호, 단기보호 및 복지용구 등이 있다. 시설급여는 노인요양시설이나 노인요양공동생활가정에서 신체활동 지원과 심신기능 유지·향상을 위한 서비스를 제공한다. 가족요양비 등 특별현금급여는 도서·벽지 등 급여 이용이 곤란한 예외적 상황에서 인정된다.</w:t>
      </w:r>
    </w:p>
    <w:p>
      <w:pPr>
        <w:spacing w:line="372" w:lineRule="auto" w:after="160"/>
        <w:ind w:firstLine="403"/>
        <w:jc w:val="both"/>
      </w:pPr>
      <w:r>
        <w:t>재원은 건강보험료와 함께 부과되는 장기요양보험료, 국가 및 지방자치단체의 부담, 이용자의 본인부담금으로 구성된다. 일반적으로 재가급여와 시설급여에는 법정 본인부담이 있으나 의료급여수급자나 저소득층은 감경 또는 면제될 수 있다. 보험방식이지만 국고지원과 본인부담을 결합하여 사회적 연대와 이용 책임을 함께 반영한다.</w:t>
      </w:r>
    </w:p>
    <w:p>
      <w:pPr>
        <w:pStyle w:val="Heading2"/>
        <w:keepNext/>
      </w:pPr>
      <w:r>
        <w:t>5. 두 제도의 비교와 상호보완성</w:t>
      </w:r>
    </w:p>
    <w:p>
      <w:pPr>
        <w:spacing w:line="372" w:lineRule="auto" w:after="160"/>
        <w:ind w:firstLine="403"/>
        <w:jc w:val="both"/>
      </w:pPr>
      <w:r>
        <w:t>두 제도는 모두 노인의 생활안정과 존엄한 노후를 지원한다는 공통점을 가진다. 그러나 기초연금은 경제적 위험에 대응하는 현금급여이며, 노인장기요양보험은 기능저하와 돌봄위험에 대응하는 서비스급여이다. 기초연금은 65세 이상이면서 소득인정액 기준을 충족해야 하고, 장기요양보험은 65세 이상 또는 노인성 질병이 있는 65세 미만인 사람 중 장기요양 필요도가 인정되어야 한다.</w:t>
      </w:r>
    </w:p>
    <w:p>
      <w:pPr>
        <w:spacing w:line="372" w:lineRule="auto" w:after="160"/>
        <w:ind w:firstLine="403"/>
        <w:jc w:val="both"/>
      </w:pPr>
      <w:r>
        <w:t>재원에서도 기초연금은 조세 중심의 공공부조적 성격을, 장기요양보험은 보험료 중심의 사회보험적 성격을 가진다. 담당체계는 기초연금이 지방자치단체와 국민연금공단을 중심으로 이루어지고, 장기요양보험은 국민건강보험공단이 보험자 역할을 담당한다. 두 제도는 대체관계가 아니라 소득과 돌봄이라는 서로 다른 위험을 보완한다. 기초연금만으로는 일상생활 지원을 해결할 수 없고, 장기요양급여가 있어도 주거비·식비 등 기본생활비가 부족하면 재가생활을 지속하기 어렵기 때문이다.</w:t>
      </w:r>
    </w:p>
    <w:p>
      <w:pPr>
        <w:pStyle w:val="Heading2"/>
        <w:keepNext/>
      </w:pPr>
      <w:r>
        <w:t>6. 문제점과 발전방안</w:t>
      </w:r>
    </w:p>
    <w:p>
      <w:pPr>
        <w:spacing w:line="372" w:lineRule="auto" w:after="160"/>
        <w:ind w:firstLine="403"/>
        <w:jc w:val="both"/>
      </w:pPr>
      <w:r>
        <w:t>기초연금은 노인빈곤 완화에 기여하지만 급여의 적정성, 국민연금과의 관계, 부부감액과 소득역전 방지감액에 대한 수용성 논란이 지속된다. 향후에는 물가와 중위소득, 노인가구의 필수지출을 함께 고려하여 급여의 적정성을 평가하고, 공적연금 전체 안에서 기초연금의 역할을 명확히 해야 한다. 신청 누락을 줄이기 위해 행정자료를 이용한 수급가능자 안내와 대리·방문신청 지원도 강화할 필요가 있다.</w:t>
      </w:r>
    </w:p>
    <w:p>
      <w:pPr>
        <w:spacing w:line="372" w:lineRule="auto" w:after="160"/>
        <w:ind w:firstLine="403"/>
        <w:jc w:val="both"/>
      </w:pPr>
      <w:r>
        <w:t>장기요양보험은 돌봄의 사회화에 크게 기여했지만 요양보호사 부족과 열악한 노동조건, 기관별 서비스 질 편차, 가족돌봄 부담, 재정 지속가능성 문제가 있다. 적정 인력배치와 임금·교육체계를 개선하고, 급여평가 결과를 이용자가 이해하기 쉽게 공개해야 한다. 시설 중심 확대보다 통합재가급여, 방문간호, 가족휴가제와 주거지원 등을 강화하여 노인이 살던 곳에서 생활할 수 있도록 해야 한다.</w:t>
      </w:r>
    </w:p>
    <w:p>
      <w:pPr>
        <w:spacing w:line="372" w:lineRule="auto" w:after="160"/>
        <w:ind w:firstLine="403"/>
        <w:jc w:val="both"/>
      </w:pPr>
      <w:r>
        <w:t>두 제도의 정보를 연계하되 개인정보 보호와 당사자 동의를 전제로 해야 한다. 예를 들어 기초연금 신청 과정에서 돌봄위험이 발견되면 노인맞춤돌봄서비스나 장기요양 인정신청을 안내하고, 장기요양 상담 과정에서 경제적 곤란이 확인되면 기초연금·생계급여·의료비 지원을 연결할 수 있다. 이처럼 소득보장과 돌봄보장을 통합적으로 안내하는 원스톱 체계를 구축해야 실제 생활의 복합적 위험에 대응할 수 있다.</w:t>
      </w:r>
    </w:p>
    <w:p>
      <w:r>
        <w:br w:type="page"/>
      </w:r>
    </w:p>
    <w:p>
      <w:pPr>
        <w:pStyle w:val="Heading1"/>
        <w:keepNext/>
      </w:pPr>
      <w:r>
        <w:t>Ⅲ. 결론</w:t>
      </w:r>
    </w:p>
    <w:p>
      <w:pPr>
        <w:spacing w:line="372" w:lineRule="auto" w:after="160"/>
        <w:ind w:firstLine="403"/>
        <w:jc w:val="both"/>
      </w:pPr>
      <w:r>
        <w:t>기초연금제도와 노인장기요양보험제도는 각각 노후소득 부족과 장기돌봄 필요라는 사회적 위험에 대응하는 핵심 제도이다. 기초연금은 조세를 재원으로 일정 소득수준 이하의 노인에게 현금을 지급하며, 노인장기요양보험은 보험료와 국고지원 등을 재원으로 인정된 수급자에게 재가·시설서비스를 제공한다. 대상선정 기준과 급여형태는 다르지만 노인의 생활안정, 가족부담 완화와 존엄성 보장이라는 목적에서 상호보완적이다.</w:t>
      </w:r>
    </w:p>
    <w:p>
      <w:pPr>
        <w:spacing w:line="372" w:lineRule="auto" w:after="160"/>
        <w:ind w:firstLine="403"/>
        <w:jc w:val="both"/>
      </w:pPr>
      <w:r>
        <w:t>초고령사회에서는 단순히 급여 대상과 지출을 확대하는 것뿐 아니라 제도 간 연계와 서비스 품질을 함께 높여야 한다. 기초연금의 적정성과 신청 접근성을 강화하고, 장기요양 인력의 처우와 재가서비스 기반을 개선하며, 소득·건강·주거·돌봄을 통합적으로 안내하는 전달체계를 구축해야 한다. 이를 통해 노인이 경제적 이유나 돌봄 공백 때문에 원하는 삶의 터전을 떠나지 않도록 하는 것이 두 제도의 공동 발전방향이라 할 수 있다.</w:t>
      </w:r>
    </w:p>
    <w:p>
      <w:pPr>
        <w:pStyle w:val="Heading1"/>
        <w:keepNext/>
      </w:pPr>
      <w:r>
        <w:t>참고문헌</w:t>
      </w:r>
    </w:p>
    <w:p>
      <w:pPr>
        <w:spacing w:after="100"/>
        <w:ind w:left="360"/>
      </w:pPr>
      <w:r>
        <w:t>보건복지부. (2026). 기초연금 사업안내.</w:t>
      </w:r>
    </w:p>
    <w:p>
      <w:pPr>
        <w:spacing w:after="100"/>
        <w:ind w:left="360"/>
      </w:pPr>
      <w:r>
        <w:t>국민연금공단. 기초연금 제도 안내. https://basicpension.mohw.go.kr</w:t>
      </w:r>
    </w:p>
    <w:p>
      <w:pPr>
        <w:spacing w:after="100"/>
        <w:ind w:left="360"/>
      </w:pPr>
      <w:r>
        <w:t>국민건강보험공단. 노인장기요양보험 제도 안내. https://www.longtermcare.or.kr</w:t>
      </w:r>
    </w:p>
    <w:p>
      <w:pPr>
        <w:spacing w:after="100"/>
        <w:ind w:left="360"/>
      </w:pPr>
      <w:r>
        <w:t>국가법령정보센터. (2026). 기초연금법. https://www.law.go.kr</w:t>
      </w:r>
    </w:p>
    <w:p>
      <w:pPr>
        <w:spacing w:after="100"/>
        <w:ind w:left="360"/>
      </w:pPr>
      <w:r>
        <w:t>국가법령정보센터. (2026). 노인장기요양보험법. https://www.law.go.kr</w:t>
      </w:r>
    </w:p>
    <w:p>
      <w:pPr>
        <w:spacing w:after="100"/>
        <w:ind w:left="360"/>
      </w:pPr>
      <w:r>
        <w:t>보건복지부. (2023). 제3차 장기요양기본계획(2023~2027).</w:t>
      </w:r>
    </w:p>
    <w:p>
      <w:r>
        <w:br w:type="page"/>
      </w:r>
    </w:p>
    <w:p>
      <w:pPr>
        <w:spacing w:before="1000"/>
        <w:jc w:val="center"/>
      </w:pPr>
      <w:r>
        <w:rPr>
          <w:b/>
          <w:color w:val="1F4D78"/>
          <w:sz w:val="40"/>
        </w:rPr>
        <w:t>과제 참고자료 이용 안내</w:t>
      </w:r>
    </w:p>
    <w:p>
      <w:pPr>
        <w:spacing w:before="260" w:line="348" w:lineRule="auto"/>
        <w:jc w:val="center"/>
      </w:pPr>
      <w:r>
        <w:rPr>
          <w:b/>
          <w:color w:val="1F4D78"/>
          <w:sz w:val="24"/>
        </w:rPr>
        <w:t>⚠️ 주의사항</w:t>
      </w:r>
    </w:p>
    <w:p>
      <w:pPr>
        <w:spacing w:before="80" w:line="348" w:lineRule="auto"/>
        <w:jc w:val="center"/>
      </w:pPr>
      <w:r>
        <w:rPr>
          <w:b w:val="0"/>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260" w:line="348" w:lineRule="auto"/>
        <w:jc w:val="center"/>
      </w:pPr>
      <w:r>
        <w:rPr>
          <w:b/>
          <w:color w:val="1F4D78"/>
          <w:sz w:val="24"/>
        </w:rPr>
        <w:t>📌 과제 수정이 어려우신가요?</w:t>
      </w:r>
    </w:p>
    <w:p>
      <w:pPr>
        <w:spacing w:before="80" w:line="348" w:lineRule="auto"/>
        <w:jc w:val="center"/>
      </w:pPr>
      <w:r>
        <w:rPr>
          <w:b w:val="0"/>
          <w:sz w:val="21"/>
        </w:rPr>
        <w:t>국민원격교육관리센터에서 1:1 과제 수정 도움을 드립니다.</w:t>
        <w:br/>
        <w:t>아래 연락처로 문의해 주세요.</w:t>
      </w:r>
    </w:p>
    <w:p>
      <w:pPr>
        <w:spacing w:before="80" w:line="348" w:lineRule="auto"/>
        <w:jc w:val="center"/>
      </w:pPr>
      <w:r>
        <w:rPr>
          <w:b w:val="0"/>
          <w:sz w:val="21"/>
        </w:rPr>
        <w:t>📞 전화: 050-7878-7044</w:t>
        <w:br/>
        <w:t>💬 카카오톡: @국민원격교육관리센터</w:t>
        <w:br/>
        <w:t>🕐 운영시간: 평일 10:00–19:00</w:t>
        <w:br/>
        <w:t>🌐 웹사이트: korealms.co.kr</w:t>
      </w:r>
    </w:p>
    <w:sectPr w:rsidR="00FC693F" w:rsidRPr="0006063C" w:rsidSect="00034616">
      <w:headerReference w:type="default" r:id="rId9"/>
      <w:footerReference w:type="default" r:id="rId10"/>
      <w:pgSz w:w="11909" w:h="16834"/>
      <w:pgMar w:top="1123" w:right="1296" w:bottom="1080" w:left="1296"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rPr>
        <w:color w:val="5A5A5A"/>
        <w:sz w:val="16"/>
      </w:rPr>
      <w:t>사회복지학개론 | 과제 참고용 샘플</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맑은 고딕" w:hAnsi="맑은 고딕" w:eastAsia="맑은 고딕"/>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ascii="맑은 고딕" w:hAnsi="맑은 고딕" w:eastAsia="맑은 고딕"/>
      <w:b/>
      <w:bCs/>
      <w:color w:val="1F4D78"/>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맑은 고딕" w:hAnsi="맑은 고딕" w:eastAsia="맑은 고딕"/>
      <w:b/>
      <w:bCs/>
      <w:color w:val="1F4D78"/>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맑은 고딕" w:hAnsi="맑은 고딕" w:eastAsia="맑은 고딕"/>
      <w:b/>
      <w:bCs/>
      <w:color w:val="282828"/>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