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rPr>
          <w:rFonts w:ascii="Noto Sans CJK KR" w:hAnsi="Noto Sans CJK KR" w:eastAsia="Noto Sans CJK KR"/>
          <w:b/>
          <w:color w:val="3E7C68"/>
          <w:sz w:val="22"/>
        </w:rPr>
        <w:t>학점은행제 과제 참고용 샘플</w:t>
      </w:r>
    </w:p>
    <w:p>
      <w:pPr>
        <w:pStyle w:val="CoverTitle"/>
      </w:pPr>
      <w:r>
        <w:t>대조언어학</w:t>
      </w:r>
    </w:p>
    <w:p>
      <w:pPr>
        <w:spacing w:after="520"/>
        <w:jc w:val="center"/>
      </w:pPr>
      <w:r>
        <w:rPr>
          <w:rFonts w:ascii="Noto Sans CJK KR" w:hAnsi="Noto Sans CJK KR" w:eastAsia="Noto Sans CJK KR"/>
          <w:color w:val="646464"/>
          <w:sz w:val="21"/>
        </w:rPr>
        <w:t>해커스원격평생교육원 · 한국어교육</w:t>
      </w:r>
    </w:p>
    <w:tbl>
      <w:tblPr>
        <w:tblW w:type="auto" w:w="0"/>
        <w:jc w:val="center"/>
        <w:tblLayout w:type="fixed"/>
        <w:tblLook w:firstColumn="1" w:firstRow="1" w:lastColumn="0" w:lastRow="0" w:noHBand="0" w:noVBand="1" w:val="04A0"/>
      </w:tblPr>
      <w:tblGrid>
        <w:gridCol w:w="8731"/>
      </w:tblGrid>
      <w:tr>
        <w:tc>
          <w:tcPr>
            <w:tcW w:type="dxa" w:w="9412"/>
            <w:shd w:fill="F4F7FA"/>
            <w:vAlign w:val="center"/>
          </w:tcPr>
          <w:p>
            <w:pPr>
              <w:spacing w:after="280" w:before="280"/>
              <w:jc w:val="center"/>
            </w:pPr>
            <w:r/>
            <w:r>
              <w:rPr>
                <w:rFonts w:ascii="Noto Sans CJK KR" w:hAnsi="Noto Sans CJK KR" w:eastAsia="Noto Sans CJK KR"/>
                <w:b/>
                <w:color w:val="1F3753"/>
                <w:sz w:val="26"/>
              </w:rPr>
              <w:t>과제 주제</w:t>
              <w:br/>
              <w:br/>
              <w:t>한국인이 외국어를 학습할 때 경험하는 어려움의 사례를 조사해</w:t>
              <w:br/>
              <w:t>대조언어학 관점에서 제시</w:t>
            </w:r>
          </w:p>
        </w:tc>
      </w:tr>
    </w:tbl>
    <w:p/>
    <w:p>
      <w:pPr>
        <w:spacing w:before="280"/>
        <w:jc w:val="center"/>
      </w:pPr>
      <w:r>
        <w:rPr>
          <w:rFonts w:ascii="Noto Sans CJK KR" w:hAnsi="Noto Sans CJK KR" w:eastAsia="Noto Sans CJK KR"/>
          <w:b/>
          <w:color w:val="1F3753"/>
          <w:sz w:val="26"/>
        </w:rPr>
        <w:t>목 차</w:t>
      </w:r>
    </w:p>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1. 서론</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2</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2. 본론</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3</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 xml:space="preserve">  2.1 대조언어학과 언어 전이의 관점</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3</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 xml:space="preserve">  2.2 음운·발음 영역의 어려움</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4</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 xml:space="preserve">  2.3 문법·통사 영역의 어려움</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5</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 xml:space="preserve">  2.4 어휘·화용 영역과 교육적 시사점</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6</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3. 결론</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7</w:t>
            </w:r>
          </w:p>
        </w:tc>
      </w:tr>
    </w:tbl>
    <w:tbl>
      <w:tblPr>
        <w:tblW w:type="auto" w:w="0"/>
        <w:jc w:val="center"/>
        <w:tblLayout w:type="fixed"/>
        <w:tblLook w:firstColumn="1" w:firstRow="1" w:lastColumn="0" w:lastRow="0" w:noHBand="0" w:noVBand="1" w:val="04A0"/>
      </w:tblPr>
      <w:tblGrid>
        <w:gridCol w:w="7824"/>
        <w:gridCol w:w="907"/>
      </w:tblGrid>
      <w:tr>
        <w:tc>
          <w:tcPr>
            <w:tcW w:type="dxa" w:w="4706"/>
            <w:vAlign w:val="center"/>
            <w:tcBorders>
              <w:top w:val="nil"/>
              <w:left w:val="nil"/>
              <w:bottom w:val="nil"/>
              <w:right w:val="nil"/>
              <w:insideH w:val="nil"/>
              <w:insideV w:val="nil"/>
            </w:tcBorders>
          </w:tcPr>
          <w:p>
            <w:pPr>
              <w:spacing w:after="0"/>
              <w:jc w:val="left"/>
            </w:pPr>
            <w:r/>
            <w:r>
              <w:rPr>
                <w:rFonts w:ascii="Noto Sans CJK KR" w:hAnsi="Noto Sans CJK KR" w:eastAsia="Noto Sans CJK KR"/>
                <w:b w:val="0"/>
                <w:color w:val="1F3753"/>
                <w:sz w:val="21"/>
              </w:rPr>
              <w:t>참고문헌</w:t>
            </w:r>
          </w:p>
        </w:tc>
        <w:tc>
          <w:tcPr>
            <w:tcW w:type="dxa" w:w="4706"/>
            <w:vAlign w:val="center"/>
            <w:tcBorders>
              <w:top w:val="nil"/>
              <w:left w:val="nil"/>
              <w:bottom w:val="nil"/>
              <w:right w:val="nil"/>
              <w:insideH w:val="nil"/>
              <w:insideV w:val="nil"/>
            </w:tcBorders>
          </w:tcPr>
          <w:p>
            <w:pPr>
              <w:spacing w:after="0"/>
              <w:jc w:val="right"/>
            </w:pPr>
            <w:r/>
            <w:r>
              <w:rPr>
                <w:rFonts w:ascii="Noto Sans CJK KR" w:hAnsi="Noto Sans CJK KR" w:eastAsia="Noto Sans CJK KR"/>
                <w:b w:val="0"/>
                <w:color w:val="646464"/>
                <w:sz w:val="21"/>
              </w:rPr>
              <w:t>7</w:t>
            </w:r>
          </w:p>
        </w:tc>
      </w:tr>
    </w:tbl>
    <w:p>
      <w:r>
        <w:br w:type="page"/>
      </w:r>
    </w:p>
    <w:p>
      <w:pPr>
        <w:pStyle w:val="H1K"/>
      </w:pPr>
      <w:r>
        <w:t>1. 서론</w:t>
      </w:r>
    </w:p>
    <w:p>
      <w:pPr>
        <w:ind w:firstLine="397"/>
      </w:pPr>
      <w:r>
        <w:t>외국어 학습에서 학습자는 새로운 언어 체계를 처음부터 완전히 독립적으로 구축하는 것이 아니라 이미 습득한 모국어의 음운, 문법, 어휘, 담화 체계를 바탕으로 목표어를 이해하고 산출한다. 이러한 모국어의 영향은 학습을 촉진하기도 하지만 두 언어의 구조적 차이가 큰 경우에는 체계적인 오류와 학습상의 어려움으로 나타날 수 있다. 대조언어학은 두 언어의 구조를 비교하여 공통점과 차이점을 밝히고, 그 차이가 외국어 학습에 어떠한 영향을 미치는지를 설명하는 데 중요한 이론적 토대를 제공한다. 특히 Lado(1957)는 모국어와 목표어의 유사한 요소는 비교적 쉽게 학습되는 반면, 서로 다른 요소는 학습상의 난점이 될 가능성이 높다고 보았다.</w:t>
      </w:r>
    </w:p>
    <w:p>
      <w:pPr>
        <w:ind w:firstLine="397"/>
      </w:pPr>
      <w:r>
        <w:t>한국인이 외국어를 학습할 때 나타나는 어려움은 목표어에 따라 달라지지만, 국내 외국어 교육에서 가장 널리 학습되는 영어를 중심으로 살펴보면 모국어인 한국어와 영어 사이의 차이가 여러 영역에서 반복적으로 드러난다. 예를 들어 한국어에는 영어의 /f/, /v/, /θ/, /ð/와 정확히 대응하는 자음이 없기 때문에 학습자가 이를 /p/, /b/, /s/, /d/ 등 가까운 소리로 대치하는 일이 발생한다. 또한 한국어에는 영어의 관사 체계와 동일한 문법 범주가 없기 때문에 ‘a/an’과 ‘the’를 생략하거나 과잉 사용하는 오류가 흔하다. 한국어의 기본 어순이 주어-목적어-동사(SOV)인 데 비해 영어는 주어-동사-목적어(SVO)를 기본으로 하므로 긴 문장을 산출할수록 어순 전이가 일어나기 쉽다.</w:t>
      </w:r>
    </w:p>
    <w:p>
      <w:pPr>
        <w:ind w:firstLine="397"/>
      </w:pPr>
      <w:r>
        <w:t>이러한 현상은 단순한 ‘실수’라기보다 학습자가 이미 가진 언어 지식을 목표어에 적용하는 과정에서 발생하는 언어 전이(language transfer)의 결과로 이해할 필요가 있다. Odlin(1989)은 언어 전이를 두 언어의 유사성과 차이에 기초하여 나타나는 교차언어적 영향으로 설명하며, 긍정적 전이와 부정적 전이를 모두 포함하는 개념으로 보았다. 따라서 학습자의 오류를 대조언어학적으로 분석하면 어떤 오류가 모국어와 목표어의 구조 차이에서 비롯된 것인지 구체적으로 설명할 수 있고, 교사는 그 차이를 명시적으로 제시하여 학습자가 목표어의 체계를 보다 정확하게 인식하도록 도울 수 있다.</w:t>
      </w:r>
    </w:p>
    <w:p>
      <w:pPr>
        <w:ind w:firstLine="397"/>
      </w:pPr>
      <w:r>
        <w:t>본 과제에서는 한국인이 영어를 학습할 때 자주 경험하는 어려움을 음운·발음, 문법·통사, 어휘·화용의 영역으로 나누어 대표적인 사례를 살펴본다. 각 사례를 한국어와 영어의 구조적 특징과 연결하여 분석하고, 단순한 오류 목록 제시를 넘어 대조언어학적 관점에서 어떤 교육적 대응이 가능한지 제시하고자 한다.</w:t>
      </w:r>
    </w:p>
    <w:p>
      <w:r>
        <w:br w:type="page"/>
      </w:r>
    </w:p>
    <w:p>
      <w:pPr>
        <w:pStyle w:val="H1K"/>
      </w:pPr>
      <w:r>
        <w:t>2. 본론</w:t>
      </w:r>
    </w:p>
    <w:p>
      <w:pPr>
        <w:pStyle w:val="H2K"/>
      </w:pPr>
      <w:r>
        <w:t>2.1 대조언어학과 언어 전이의 관점</w:t>
      </w:r>
    </w:p>
    <w:p>
      <w:pPr>
        <w:ind w:firstLine="397"/>
      </w:pPr>
      <w:r>
        <w:t>대조언어학은 둘 이상의 언어를 체계적으로 비교하여 음운, 형태, 통사, 의미, 화용 층위에서 나타나는 공통점과 차이점을 기술하는 분야이다. 외국어 교육에서 대조분석은 학습자가 모국어의 규칙을 목표어에 적용할 때 어디에서 학습이 촉진되고 어디에서 방해가 일어날지를 예측하는 데 활용되어 왔다. 초기의 강한 대조분석가설은 두 언어의 차이가 곧 학습 난이도로 이어진다고 보았지만, 이후 연구에서는 모든 오류를 언어 차이만으로 설명할 수 없으며 발달적 오류, 과잉 일반화, 학습 전략 등의 요인도 함께 고려해야 한다는 점이 강조되었다. 그럼에도 모국어와 목표어의 구조적 차이는 학습자 오류를 설명하는 핵심 요인 중 하나이며, 특히 발음과 문법 범주처럼 자동화된 모국어 체계가 강하게 작용하는 영역에서 영향이 크다(Ellis, 2008; Gass &amp; Selinker, 2008).</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2353"/>
            <w:shd w:fill="DDEBE3"/>
            <w:vAlign w:val="center"/>
          </w:tcPr>
          <w:p>
            <w:pPr>
              <w:spacing w:after="0"/>
              <w:jc w:val="center"/>
            </w:pPr>
            <w:r/>
            <w:r>
              <w:rPr>
                <w:rFonts w:ascii="Noto Sans CJK KR" w:hAnsi="Noto Sans CJK KR" w:eastAsia="Noto Sans CJK KR"/>
                <w:b/>
                <w:color w:val="1F3753"/>
                <w:sz w:val="18"/>
              </w:rPr>
              <w:t>비교 영역</w:t>
            </w:r>
          </w:p>
        </w:tc>
        <w:tc>
          <w:tcPr>
            <w:tcW w:type="dxa" w:w="2353"/>
            <w:shd w:fill="DDEBE3"/>
            <w:vAlign w:val="center"/>
          </w:tcPr>
          <w:p>
            <w:pPr>
              <w:spacing w:after="0"/>
              <w:jc w:val="center"/>
            </w:pPr>
            <w:r/>
            <w:r>
              <w:rPr>
                <w:rFonts w:ascii="Noto Sans CJK KR" w:hAnsi="Noto Sans CJK KR" w:eastAsia="Noto Sans CJK KR"/>
                <w:b/>
                <w:color w:val="1F3753"/>
                <w:sz w:val="18"/>
              </w:rPr>
              <w:t>한국어의 특징</w:t>
            </w:r>
          </w:p>
        </w:tc>
        <w:tc>
          <w:tcPr>
            <w:tcW w:type="dxa" w:w="2353"/>
            <w:shd w:fill="DDEBE3"/>
            <w:vAlign w:val="center"/>
          </w:tcPr>
          <w:p>
            <w:pPr>
              <w:spacing w:after="0"/>
              <w:jc w:val="center"/>
            </w:pPr>
            <w:r/>
            <w:r>
              <w:rPr>
                <w:rFonts w:ascii="Noto Sans CJK KR" w:hAnsi="Noto Sans CJK KR" w:eastAsia="Noto Sans CJK KR"/>
                <w:b/>
                <w:color w:val="1F3753"/>
                <w:sz w:val="18"/>
              </w:rPr>
              <w:t>영어의 특징</w:t>
            </w:r>
          </w:p>
        </w:tc>
        <w:tc>
          <w:tcPr>
            <w:tcW w:type="dxa" w:w="2353"/>
            <w:shd w:fill="DDEBE3"/>
            <w:vAlign w:val="center"/>
          </w:tcPr>
          <w:p>
            <w:pPr>
              <w:spacing w:after="0"/>
              <w:jc w:val="center"/>
            </w:pPr>
            <w:r/>
            <w:r>
              <w:rPr>
                <w:rFonts w:ascii="Noto Sans CJK KR" w:hAnsi="Noto Sans CJK KR" w:eastAsia="Noto Sans CJK KR"/>
                <w:b/>
                <w:color w:val="1F3753"/>
                <w:sz w:val="18"/>
              </w:rPr>
              <w:t>예상되는 학습 난점</w:t>
            </w:r>
          </w:p>
        </w:tc>
      </w:tr>
      <w:tr>
        <w:tc>
          <w:tcPr>
            <w:tcW w:type="dxa" w:w="2353"/>
            <w:vAlign w:val="center"/>
          </w:tcPr>
          <w:p>
            <w:pPr>
              <w:spacing w:after="0"/>
              <w:jc w:val="center"/>
            </w:pPr>
            <w:r/>
            <w:r>
              <w:rPr>
                <w:rFonts w:ascii="Noto Sans CJK KR" w:hAnsi="Noto Sans CJK KR" w:eastAsia="Noto Sans CJK KR"/>
                <w:b w:val="0"/>
                <w:sz w:val="17"/>
              </w:rPr>
              <w:t>기본 어순</w:t>
            </w:r>
          </w:p>
        </w:tc>
        <w:tc>
          <w:tcPr>
            <w:tcW w:type="dxa" w:w="2353"/>
            <w:vAlign w:val="center"/>
          </w:tcPr>
          <w:p>
            <w:pPr>
              <w:spacing w:after="0"/>
              <w:jc w:val="left"/>
            </w:pPr>
            <w:r/>
            <w:r>
              <w:rPr>
                <w:rFonts w:ascii="Noto Sans CJK KR" w:hAnsi="Noto Sans CJK KR" w:eastAsia="Noto Sans CJK KR"/>
                <w:b w:val="0"/>
                <w:sz w:val="17"/>
              </w:rPr>
              <w:t>SOV, 조사 중심</w:t>
            </w:r>
          </w:p>
        </w:tc>
        <w:tc>
          <w:tcPr>
            <w:tcW w:type="dxa" w:w="2353"/>
            <w:vAlign w:val="center"/>
          </w:tcPr>
          <w:p>
            <w:pPr>
              <w:spacing w:after="0"/>
              <w:jc w:val="left"/>
            </w:pPr>
            <w:r/>
            <w:r>
              <w:rPr>
                <w:rFonts w:ascii="Noto Sans CJK KR" w:hAnsi="Noto Sans CJK KR" w:eastAsia="Noto Sans CJK KR"/>
                <w:b w:val="0"/>
                <w:sz w:val="17"/>
              </w:rPr>
              <w:t>SVO, 위치·어순 중요</w:t>
            </w:r>
          </w:p>
        </w:tc>
        <w:tc>
          <w:tcPr>
            <w:tcW w:type="dxa" w:w="2353"/>
            <w:vAlign w:val="center"/>
          </w:tcPr>
          <w:p>
            <w:pPr>
              <w:spacing w:after="0"/>
              <w:jc w:val="left"/>
            </w:pPr>
            <w:r/>
            <w:r>
              <w:rPr>
                <w:rFonts w:ascii="Noto Sans CJK KR" w:hAnsi="Noto Sans CJK KR" w:eastAsia="Noto Sans CJK KR"/>
                <w:b w:val="0"/>
                <w:sz w:val="17"/>
              </w:rPr>
              <w:t>동사 위치 및 문장 배열 오류</w:t>
            </w:r>
          </w:p>
        </w:tc>
      </w:tr>
      <w:tr>
        <w:tc>
          <w:tcPr>
            <w:tcW w:type="dxa" w:w="2353"/>
            <w:vAlign w:val="center"/>
          </w:tcPr>
          <w:p>
            <w:pPr>
              <w:spacing w:after="0"/>
              <w:jc w:val="center"/>
            </w:pPr>
            <w:r/>
            <w:r>
              <w:rPr>
                <w:rFonts w:ascii="Noto Sans CJK KR" w:hAnsi="Noto Sans CJK KR" w:eastAsia="Noto Sans CJK KR"/>
                <w:b w:val="0"/>
                <w:sz w:val="17"/>
              </w:rPr>
              <w:t>관사</w:t>
            </w:r>
          </w:p>
        </w:tc>
        <w:tc>
          <w:tcPr>
            <w:tcW w:type="dxa" w:w="2353"/>
            <w:vAlign w:val="center"/>
          </w:tcPr>
          <w:p>
            <w:pPr>
              <w:spacing w:after="0"/>
              <w:jc w:val="left"/>
            </w:pPr>
            <w:r/>
            <w:r>
              <w:rPr>
                <w:rFonts w:ascii="Noto Sans CJK KR" w:hAnsi="Noto Sans CJK KR" w:eastAsia="Noto Sans CJK KR"/>
                <w:b w:val="0"/>
                <w:sz w:val="17"/>
              </w:rPr>
              <w:t>관사 범주 없음</w:t>
            </w:r>
          </w:p>
        </w:tc>
        <w:tc>
          <w:tcPr>
            <w:tcW w:type="dxa" w:w="2353"/>
            <w:vAlign w:val="center"/>
          </w:tcPr>
          <w:p>
            <w:pPr>
              <w:spacing w:after="0"/>
              <w:jc w:val="left"/>
            </w:pPr>
            <w:r/>
            <w:r>
              <w:rPr>
                <w:rFonts w:ascii="Noto Sans CJK KR" w:hAnsi="Noto Sans CJK KR" w:eastAsia="Noto Sans CJK KR"/>
                <w:b w:val="0"/>
                <w:sz w:val="17"/>
              </w:rPr>
              <w:t>a/an, the의 필수적 사용</w:t>
            </w:r>
          </w:p>
        </w:tc>
        <w:tc>
          <w:tcPr>
            <w:tcW w:type="dxa" w:w="2353"/>
            <w:vAlign w:val="center"/>
          </w:tcPr>
          <w:p>
            <w:pPr>
              <w:spacing w:after="0"/>
              <w:jc w:val="left"/>
            </w:pPr>
            <w:r/>
            <w:r>
              <w:rPr>
                <w:rFonts w:ascii="Noto Sans CJK KR" w:hAnsi="Noto Sans CJK KR" w:eastAsia="Noto Sans CJK KR"/>
                <w:b w:val="0"/>
                <w:sz w:val="17"/>
              </w:rPr>
              <w:t>관사 생략·과잉 사용</w:t>
            </w:r>
          </w:p>
        </w:tc>
      </w:tr>
      <w:tr>
        <w:tc>
          <w:tcPr>
            <w:tcW w:type="dxa" w:w="2353"/>
            <w:vAlign w:val="center"/>
          </w:tcPr>
          <w:p>
            <w:pPr>
              <w:spacing w:after="0"/>
              <w:jc w:val="center"/>
            </w:pPr>
            <w:r/>
            <w:r>
              <w:rPr>
                <w:rFonts w:ascii="Noto Sans CJK KR" w:hAnsi="Noto Sans CJK KR" w:eastAsia="Noto Sans CJK KR"/>
                <w:b w:val="0"/>
                <w:sz w:val="17"/>
              </w:rPr>
              <w:t>주어</w:t>
            </w:r>
          </w:p>
        </w:tc>
        <w:tc>
          <w:tcPr>
            <w:tcW w:type="dxa" w:w="2353"/>
            <w:vAlign w:val="center"/>
          </w:tcPr>
          <w:p>
            <w:pPr>
              <w:spacing w:after="0"/>
              <w:jc w:val="left"/>
            </w:pPr>
            <w:r/>
            <w:r>
              <w:rPr>
                <w:rFonts w:ascii="Noto Sans CJK KR" w:hAnsi="Noto Sans CJK KR" w:eastAsia="Noto Sans CJK KR"/>
                <w:b w:val="0"/>
                <w:sz w:val="17"/>
              </w:rPr>
              <w:t>담화상 추론 가능하면 자주 생략</w:t>
            </w:r>
          </w:p>
        </w:tc>
        <w:tc>
          <w:tcPr>
            <w:tcW w:type="dxa" w:w="2353"/>
            <w:vAlign w:val="center"/>
          </w:tcPr>
          <w:p>
            <w:pPr>
              <w:spacing w:after="0"/>
              <w:jc w:val="left"/>
            </w:pPr>
            <w:r/>
            <w:r>
              <w:rPr>
                <w:rFonts w:ascii="Noto Sans CJK KR" w:hAnsi="Noto Sans CJK KR" w:eastAsia="Noto Sans CJK KR"/>
                <w:b w:val="0"/>
                <w:sz w:val="17"/>
              </w:rPr>
              <w:t>독립절에서 명시적 주어 요구</w:t>
            </w:r>
          </w:p>
        </w:tc>
        <w:tc>
          <w:tcPr>
            <w:tcW w:type="dxa" w:w="2353"/>
            <w:vAlign w:val="center"/>
          </w:tcPr>
          <w:p>
            <w:pPr>
              <w:spacing w:after="0"/>
              <w:jc w:val="left"/>
            </w:pPr>
            <w:r/>
            <w:r>
              <w:rPr>
                <w:rFonts w:ascii="Noto Sans CJK KR" w:hAnsi="Noto Sans CJK KR" w:eastAsia="Noto Sans CJK KR"/>
                <w:b w:val="0"/>
                <w:sz w:val="17"/>
              </w:rPr>
              <w:t>주어 누락</w:t>
            </w:r>
          </w:p>
        </w:tc>
      </w:tr>
      <w:tr>
        <w:tc>
          <w:tcPr>
            <w:tcW w:type="dxa" w:w="2353"/>
            <w:vAlign w:val="center"/>
          </w:tcPr>
          <w:p>
            <w:pPr>
              <w:spacing w:after="0"/>
              <w:jc w:val="center"/>
            </w:pPr>
            <w:r/>
            <w:r>
              <w:rPr>
                <w:rFonts w:ascii="Noto Sans CJK KR" w:hAnsi="Noto Sans CJK KR" w:eastAsia="Noto Sans CJK KR"/>
                <w:b w:val="0"/>
                <w:sz w:val="17"/>
              </w:rPr>
              <w:t>음절 구조</w:t>
            </w:r>
          </w:p>
        </w:tc>
        <w:tc>
          <w:tcPr>
            <w:tcW w:type="dxa" w:w="2353"/>
            <w:vAlign w:val="center"/>
          </w:tcPr>
          <w:p>
            <w:pPr>
              <w:spacing w:after="0"/>
              <w:jc w:val="left"/>
            </w:pPr>
            <w:r/>
            <w:r>
              <w:rPr>
                <w:rFonts w:ascii="Noto Sans CJK KR" w:hAnsi="Noto Sans CJK KR" w:eastAsia="Noto Sans CJK KR"/>
                <w:b w:val="0"/>
                <w:sz w:val="17"/>
              </w:rPr>
              <w:t>종성 자음 제약이 큼</w:t>
            </w:r>
          </w:p>
        </w:tc>
        <w:tc>
          <w:tcPr>
            <w:tcW w:type="dxa" w:w="2353"/>
            <w:vAlign w:val="center"/>
          </w:tcPr>
          <w:p>
            <w:pPr>
              <w:spacing w:after="0"/>
              <w:jc w:val="left"/>
            </w:pPr>
            <w:r/>
            <w:r>
              <w:rPr>
                <w:rFonts w:ascii="Noto Sans CJK KR" w:hAnsi="Noto Sans CJK KR" w:eastAsia="Noto Sans CJK KR"/>
                <w:b w:val="0"/>
                <w:sz w:val="17"/>
              </w:rPr>
              <w:t>복잡한 자음군 허용</w:t>
            </w:r>
          </w:p>
        </w:tc>
        <w:tc>
          <w:tcPr>
            <w:tcW w:type="dxa" w:w="2353"/>
            <w:vAlign w:val="center"/>
          </w:tcPr>
          <w:p>
            <w:pPr>
              <w:spacing w:after="0"/>
              <w:jc w:val="left"/>
            </w:pPr>
            <w:r/>
            <w:r>
              <w:rPr>
                <w:rFonts w:ascii="Noto Sans CJK KR" w:hAnsi="Noto Sans CJK KR" w:eastAsia="Noto Sans CJK KR"/>
                <w:b w:val="0"/>
                <w:sz w:val="17"/>
              </w:rPr>
              <w:t>모음 삽입, 자음군 단순화</w:t>
            </w:r>
          </w:p>
        </w:tc>
      </w:tr>
      <w:tr>
        <w:tc>
          <w:tcPr>
            <w:tcW w:type="dxa" w:w="2353"/>
            <w:vAlign w:val="center"/>
          </w:tcPr>
          <w:p>
            <w:pPr>
              <w:spacing w:after="0"/>
              <w:jc w:val="center"/>
            </w:pPr>
            <w:r/>
            <w:r>
              <w:rPr>
                <w:rFonts w:ascii="Noto Sans CJK KR" w:hAnsi="Noto Sans CJK KR" w:eastAsia="Noto Sans CJK KR"/>
                <w:b w:val="0"/>
                <w:sz w:val="17"/>
              </w:rPr>
              <w:t>자음 대립</w:t>
            </w:r>
          </w:p>
        </w:tc>
        <w:tc>
          <w:tcPr>
            <w:tcW w:type="dxa" w:w="2353"/>
            <w:vAlign w:val="center"/>
          </w:tcPr>
          <w:p>
            <w:pPr>
              <w:spacing w:after="0"/>
              <w:jc w:val="left"/>
            </w:pPr>
            <w:r/>
            <w:r>
              <w:rPr>
                <w:rFonts w:ascii="Noto Sans CJK KR" w:hAnsi="Noto Sans CJK KR" w:eastAsia="Noto Sans CJK KR"/>
                <w:b w:val="0"/>
                <w:sz w:val="17"/>
              </w:rPr>
              <w:t>/f, v, θ, ð/ 없음</w:t>
            </w:r>
          </w:p>
        </w:tc>
        <w:tc>
          <w:tcPr>
            <w:tcW w:type="dxa" w:w="2353"/>
            <w:vAlign w:val="center"/>
          </w:tcPr>
          <w:p>
            <w:pPr>
              <w:spacing w:after="0"/>
              <w:jc w:val="left"/>
            </w:pPr>
            <w:r/>
            <w:r>
              <w:rPr>
                <w:rFonts w:ascii="Noto Sans CJK KR" w:hAnsi="Noto Sans CJK KR" w:eastAsia="Noto Sans CJK KR"/>
                <w:b w:val="0"/>
                <w:sz w:val="17"/>
              </w:rPr>
              <w:t>해당 자음이 음소로 기능</w:t>
            </w:r>
          </w:p>
        </w:tc>
        <w:tc>
          <w:tcPr>
            <w:tcW w:type="dxa" w:w="2353"/>
            <w:vAlign w:val="center"/>
          </w:tcPr>
          <w:p>
            <w:pPr>
              <w:spacing w:after="0"/>
              <w:jc w:val="left"/>
            </w:pPr>
            <w:r/>
            <w:r>
              <w:rPr>
                <w:rFonts w:ascii="Noto Sans CJK KR" w:hAnsi="Noto Sans CJK KR" w:eastAsia="Noto Sans CJK KR"/>
                <w:b w:val="0"/>
                <w:sz w:val="17"/>
              </w:rPr>
              <w:t>가까운 한국어 자음으로 대치</w:t>
            </w:r>
          </w:p>
        </w:tc>
      </w:tr>
    </w:tbl>
    <w:p>
      <w:pPr>
        <w:ind w:firstLine="397"/>
      </w:pPr>
      <w:r>
        <w:t>표에서 보듯 한국어와 영어는 핵심 문법 장치와 음운 구조가 상당히 다르다. 여기서 중요한 점은 학습자가 이러한 차이를 단순히 ‘모른다’기보다, 이미 자동화되어 있는 한국어 처리 방식을 영어에 적용한다는 사실이다. 예컨대 한국어에서는 조사가 문장 성분의 관계를 표시하기 때문에 어순의 변동이 비교적 자유롭지만, 영어에서는 어순 자체가 문법적 관계를 표시하는 기능이 크다. 따라서 한국어 화자가 영어 문장을 만들 때 내용어를 먼저 떠올리고 한국어식 배열로 결합한 뒤 영어 단어로 치환하면 어순 오류가 나타날 가능성이 높다.</w:t>
      </w:r>
    </w:p>
    <w:p>
      <w:pPr>
        <w:ind w:firstLine="397"/>
      </w:pPr>
      <w:r>
        <w:t>또한 언어 전이는 항상 부정적으로만 작용하는 것은 아니다. 한국어와 영어 모두 명사, 동사, 형용사와 같은 기본적인 품사 범주를 구분하고, 문장에서 주체와 행위를 표현하며, 특정 상황에서 시제와 양태를 나타낸다는 공통점이 있다. 이러한 유사성은 새로운 개념을 이해하는 데 긍정적 전이로 작용할 수 있다. 대조언어학적 교육은 차이만 강조하기보다 공통점과 차이점을 함께 제시하여 학습자가 이미 가진 지식을 효과적으로 활용하도록 하는 방향으로 이루어질 필요가 있다.</w:t>
      </w:r>
    </w:p>
    <w:p>
      <w:r>
        <w:br w:type="page"/>
      </w:r>
    </w:p>
    <w:p>
      <w:pPr>
        <w:pStyle w:val="H2K"/>
      </w:pPr>
      <w:r>
        <w:t>2.2 음운·발음 영역의 어려움</w:t>
      </w:r>
    </w:p>
    <w:p>
      <w:pPr>
        <w:ind w:firstLine="397"/>
      </w:pPr>
      <w:r>
        <w:t>한국인 영어 학습자에게 가장 직접적으로 체감되는 어려움은 발음 영역이다. 한국어와 영어는 자음 목록과 음절 구조가 다르며, 한국어의 음운 규칙이 영어 발음에 전이되면 의미 구별을 방해할 정도의 발음 오류가 나타날 수 있다. 제2언어 음성 습득 연구에서는 학습자가 목표어의 새로운 소리를 모국어의 가장 가까운 음운 범주로 지각하고 산출하려는 경향이 있음을 지적한다(Flege, 1995). 이는 한국인이 영어의 특정 자음을 들을 때 실제로는 서로 다른 소리를 한국어의 하나의 익숙한 범주로 묶어 처리하는 현상과 관련된다.</w:t>
      </w:r>
    </w:p>
    <w:p>
      <w:pPr>
        <w:ind w:firstLine="397"/>
      </w:pPr>
      <w:r>
        <w:t>첫 번째 사례는 /r/과 /l/의 구별이다. 한국어의 유음 ‘ㄹ’은 환경에 따라 탄설음이나 설측음에 가까운 소리로 실현되지만, 영어에서는 /r/과 /l/이 서로 다른 음소이며 단어의 의미를 구별한다. 따라서 ‘right–light’, ‘road–load’, ‘glass–grass’와 같은 최소대립쌍에서 한국인 학습자는 지각과 산출 모두에서 어려움을 경험할 수 있다. 특히 철자만 보고 발음하는 단계에서는 두 소리를 명확히 구별한다고 생각하더라도 빠른 대화 상황에서 /r/과 /l/의 조음 위치와 혀의 움직임을 안정적으로 유지하지 못해 의사소통의 정확성이 떨어질 수 있다.</w:t>
      </w:r>
    </w:p>
    <w:p>
      <w:pPr>
        <w:ind w:firstLine="397"/>
      </w:pPr>
      <w:r>
        <w:t>두 번째 사례는 영어의 /f/와 /v/, /θ/와 /ð/처럼 한국어에 직접 대응하는 음소가 없는 경우이다. /f/를 /p/와 비슷하게 발음하여 ‘fan’을 ‘pan’에 가깝게 산출하거나, /v/를 /b/와 비슷하게 발음하여 ‘vest’를 ‘best’처럼 들리게 하는 현상이 대표적이다. 또한 ‘think’의 /θ/를 /s/ 또는 /t/에 가깝게, ‘this’의 /ð/를 /d/에 가깝게 산출하는 경우가 많다. 이러한 오류는 단어 자체를 몰라서가 아니라 한국어에 없는 조음 방법을 새롭게 습득해야 하기 때문에 발생한다. 영어에서는 윗니와 아랫입술의 접촉, 혀끝과 치아 사이의 마찰 등 한국어 자음과 다른 조음 동작이 필요하므로 반복적인 청각 구별 훈련과 조음 위치의 시각화가 효과적이다.</w:t>
      </w:r>
    </w:p>
    <w:p>
      <w:pPr>
        <w:ind w:firstLine="397"/>
      </w:pPr>
      <w:r>
        <w:t>세 번째 사례는 자음군과 음절 말 자음 처리이다. 영어는 ‘school’, ‘spring’, ‘desk’, ‘asked’처럼 두 개 이상의 자음이 연속되는 음절 구조를 허용하지만, 한국어는 음절 초와 말에서 허용되는 자음 결합에 제약이 크다. 이에 따라 한국인 학습자가 영어 자음군 사이에 모음을 삽입하거나 일부 자음을 약화·탈락시키는 현상이 나타날 수 있다. 예를 들어 ‘school’을 [스쿨]처럼 모음이 붙은 형태로 인식하거나 ‘strike’와 같은 단어에서 자음군을 분절하여 발음하는 식이다. 한국어의 외래어 표기와 일상적 차용어 발음에서도 모음 삽입이 흔하기 때문에 이러한 습관이 영어 발음에 전이되기 쉽다.</w:t>
      </w:r>
    </w:p>
    <w:p>
      <w:pPr>
        <w:ind w:firstLine="397"/>
      </w:pPr>
      <w:r>
        <w:t>교육적으로는 개별 자음을 고립된 상태에서 반복하는 것보다 최소대립쌍, 실제 단어, 문장, 짧은 대화 순으로 범위를 넓히는 훈련이 필요하다. 학습자가 ‘한국어에는 없는 소리이므로 틀리기 쉽다’는 사실을 인식하도록 하고, 거울이나 발음 그림을 활용해 조음 위치를 확인하게 하면 모국어의 자동화된 발음 습관을 수정하는 데 도움이 된다. 또한 듣기에서 먼저 두 소리를 구별할 수 있어야 안정적인 산출로 이어지므로 지각 훈련과 산출 훈련을 함께 구성해야 한다.</w:t>
      </w:r>
    </w:p>
    <w:p>
      <w:r>
        <w:br w:type="page"/>
      </w:r>
    </w:p>
    <w:p>
      <w:pPr>
        <w:pStyle w:val="H2K"/>
      </w:pPr>
      <w:r>
        <w:t>2.3 문법·통사 영역의 어려움</w:t>
      </w:r>
    </w:p>
    <w:p>
      <w:pPr>
        <w:ind w:firstLine="397"/>
      </w:pPr>
      <w:r>
        <w:t>문법과 통사 영역에서도 한국어와 영어의 구조적 차이가 뚜렷하게 나타난다. 첫 번째 대표 사례는 관사 사용이다. 영어의 부정관사 ‘a/an’과 정관사 ‘the’는 명사의 특정성, 화자와 청자의 공유 지식, 담화 내 새 정보와 주어진 정보 등을 표시하는 중요한 문법 장치이다. 반면 한국어에는 영어와 동일한 관사 체계가 없으며, 필요한 경우 ‘어떤’, ‘그’와 같은 표현이나 문맥을 통해 유사한 의미를 전달한다. 이 때문에 한국인 학습자는 ‘I bought book yesterday’처럼 관사를 생략하거나, 반대로 일반적인 의미의 명사 앞에 불필요하게 ‘the’를 붙이는 과잉 사용을 보일 수 있다.</w:t>
      </w:r>
    </w:p>
    <w:p>
      <w:pPr>
        <w:ind w:firstLine="397"/>
      </w:pPr>
      <w:r>
        <w:t>관사 오류는 단순히 ‘명사 앞에 a 또는 the를 붙인다’는 규칙을 암기하는 것으로 해결되기 어렵다. 한국어에서는 명사의 지시성이나 특정성을 문맥이 처리하는 경우가 많지만 영어에서는 관사가 문법적으로 명시되어야 하기 때문이다. 따라서 ‘처음 언급하는 단수 가산명사에는 a/an’, ‘이미 언급되었거나 청자가 무엇을 가리키는지 알 수 있을 때는 the’와 같은 담화적 조건을 실제 문맥 속에서 연습하게 해야 한다. 이는 대조언어학적 설명이 문법 형태의 차이를 넘어 정보구조의 차이까지 포함해야 함을 보여준다.</w:t>
      </w:r>
    </w:p>
    <w:p>
      <w:pPr>
        <w:ind w:firstLine="397"/>
      </w:pPr>
      <w:r>
        <w:t>두 번째 사례는 주어 생략이다. 한국어는 담화 맥락에서 주체가 분명하면 주어를 자주 생략할 수 있다. 예를 들어 ‘어제 영화 봤어’라는 문장은 주어가 표면적으로 나타나지 않아도 대화 참여자는 누가 영화를 보았는지 쉽게 추론할 수 있다. 그러나 영어의 독립절에서는 일반적으로 명시적인 주어가 필요하므로 ‘Went to the library yesterday’처럼 주어가 없는 문장은 문법적으로 불완전한 문장이 된다. 한국인 학습자가 작문이나 말하기에서 ‘I’, ‘he’, ‘she’, ‘it’ 등을 빠뜨리는 현상은 한국어의 영주어(pro-drop) 성향이 영어에 전이된 사례로 볼 수 있다.</w:t>
      </w:r>
    </w:p>
    <w:p>
      <w:pPr>
        <w:ind w:firstLine="397"/>
      </w:pPr>
      <w:r>
        <w:t>세 번째 사례는 기본 어순의 차이이다. 한국어는 ‘나는 사과를 먹었다’와 같이 동사가 문장 끝에 오는 SOV 언어인 반면 영어는 ‘I ate an apple’처럼 동사가 목적어 앞에 오는 SVO 언어이다. 초급 단계에서는 영어 어순을 명시적으로 암기하기 때문에 오류가 적어 보일 수 있지만, 관계절이나 부사구가 포함된 긴 문장에서는 한국어식 사고 순서가 개입하면서 동사의 위치가 늦어지거나 수식어 배열이 어색해지는 경우가 생긴다. 특히 한국어는 조사에 의해 문장 성분의 기능이 표시되므로 어순 변화가 상대적으로 자유롭지만 영어는 문장 성분의 위치가 문법적 관계를 결정하는 비중이 크다.</w:t>
      </w:r>
    </w:p>
    <w:p>
      <w:pPr>
        <w:ind w:firstLine="397"/>
      </w:pPr>
      <w:r>
        <w:t>네 번째 사례는 전치사와 시제·상 체계이다. 한국어는 명사 뒤에 조사가 결합하는 후치사적 성격이 강하지만 영어는 명사 앞에 전치사를 두므로 ‘in, on, at, to, for’와 같은 기능어 선택과 위치에서 오류가 발생하기 쉽다. 또한 영어의 현재완료는 과거의 사건을 현재와 연결하는 기능을 갖지만 한국어에서는 동일한 기능을 하나의 대응 형태로 일대일 대응시키기 어렵다. 그 결과 ‘I have lived here for five years’와 같은 표현을 단순과거로 바꾸거나, 반대로 과거 시점을 명확히 나타내는 표현과 현재완료를 함께 쓰는 오류가 나타날 수 있다. 이러한 문법 범주의 불일치는 직역을 피하고 각 언어가 사건의 시간과 관계를 표현하는 방식 자체를 대비하여 지도할 필요가 있음을 보여준다.</w:t>
      </w:r>
    </w:p>
    <w:p>
      <w:r>
        <w:br w:type="page"/>
      </w:r>
    </w:p>
    <w:p>
      <w:pPr>
        <w:pStyle w:val="H2K"/>
      </w:pPr>
      <w:r>
        <w:t>2.4 어휘·화용 영역과 교육적 시사점</w:t>
      </w:r>
    </w:p>
    <w:p>
      <w:pPr>
        <w:ind w:firstLine="397"/>
      </w:pPr>
      <w:r>
        <w:t>어휘 영역의 어려움은 두 언어의 단어가 사전적으로 비슷한 뜻을 가진다고 해서 실제 사용 범위까지 일치하지 않는 데서 발생한다. 한국어의 한 단어가 영어에서는 문맥에 따라 여러 단어로 나뉘기도 하고, 반대로 영어의 한 단어가 한국어에서는 여러 표현으로 번역되기도 한다. 예를 들어 한국어의 ‘입다’는 옷의 종류와 관계없이 넓게 쓰일 수 있지만 영어에서는 wear, put on, dress 등 상황과 문법 구조에 따라 다른 동사가 사용된다. ‘약속하다’와 promise, appointment의 관계처럼 한국어에서 하나의 의미 영역으로 묶여 있는 개념이 영어에서는 행위와 일정이라는 서로 다른 어휘 범주로 나뉘는 경우도 있다. 학습자가 한국어 단어 하나에 영어 단어 하나를 고정 대응시키면 문맥상 부자연스러운 선택이 생길 수 있다.</w:t>
      </w:r>
    </w:p>
    <w:p>
      <w:pPr>
        <w:ind w:firstLine="397"/>
      </w:pPr>
      <w:r>
        <w:t>연어(collocation) 역시 대표적인 문제이다. 영어에서는 ‘make a decision’, ‘take a test’, ‘heavy rain’과 같이 특정 단어끼리 결합하는 관습적 패턴이 강하다. 한국인 학습자가 한국어의 결합 방식을 그대로 영어 단어에 옮기면 문법적으로는 틀리지 않더라도 원어민에게 부자연스러운 표현이 될 수 있다. 예를 들어 ‘strong rain’은 의미 전달은 가능하지만 영어에서는 일반적으로 ‘heavy rain’을 사용한다. 이처럼 어휘 학습에서는 개별 단어의 뜻만 암기하기보다 자주 결합하는 표현 단위와 실제 문장을 함께 학습해야 한다.</w:t>
      </w:r>
    </w:p>
    <w:p>
      <w:pPr>
        <w:ind w:firstLine="397"/>
      </w:pPr>
      <w:r>
        <w:t>화용적 차이도 중요하다. 한국어는 상대방의 연령, 지위, 친밀도에 따라 높임 표현과 종결어미를 세밀하게 선택하며, 맥락과 관계를 고려해 직접적인 표현을 피하는 경우가 많다. 영어에서도 공손성 전략이 존재하지만 그 실현 방식은 한국어와 다르다. 한국인 학습자가 요청이나 거절 상황에서 한국어식 간접성을 그대로 적용하면 지나치게 장황하거나 의도가 불분명해질 수 있으며, 반대로 교과서에서 배운 짧은 명령형 표현을 그대로 사용하면 무례하게 들릴 수 있다. 예를 들어 ‘Open the window’는 문법적으로 정확하지만 실제 요청 상황에서는 ‘Could you open the window?’와 같은 표현이 더 적절할 수 있다. 이는 언어 능력이 문법적 정확성만이 아니라 상황에 맞는 화용적 선택까지 포함한다는 사실을 보여준다.</w:t>
      </w:r>
    </w:p>
    <w:p>
      <w:pPr>
        <w:ind w:firstLine="397"/>
      </w:pPr>
      <w:r>
        <w:t>대조언어학적 관점에서 이러한 어려움을 줄이기 위해서는 첫째, 교사가 학습자의 오류를 단순히 정답과 오답으로 처리하기보다 두 언어의 체계 차이와 연결해 설명해야 한다. 예컨대 관사 오류가 반복될 때 ‘관사를 빼먹었다’고 지적하는 데 그치지 않고 한국어에는 대응되는 문법 범주가 없기 때문에 학습자가 특정성과 담화 정보를 별도로 표시하는 데 익숙하지 않다는 점을 알려 주는 방식이다. 학습자는 오류의 원인을 이해할 때 스스로 점검할 수 있는 기준을 갖게 된다.</w:t>
      </w:r>
    </w:p>
    <w:p>
      <w:pPr>
        <w:ind w:firstLine="397"/>
      </w:pPr>
      <w:r>
        <w:t>둘째, 발음·문법·어휘를 각각 분리하여 지도하기보다 실제 의사소통 과제 속에서 대조적 특징을 통합적으로 다루는 것이 효과적이다. ‘처음 방문한 카페에서 주문하기’, ‘친구와 약속 정하기’, ‘과거 경험 소개하기’와 같은 상황을 설정하면 관사, 시제, 전치사, 공손 표현, 발음이 동시에 사용된다. 이때 한국어식 표현을 먼저 제시하고 영어의 자연스러운 표현과 비교하게 하면 학습자가 두 언어의 차이를 의식적으로 발견할 수 있다.</w:t>
      </w:r>
    </w:p>
    <w:p>
      <w:pPr>
        <w:ind w:firstLine="397"/>
      </w:pPr>
      <w:r>
        <w:t>셋째, 모든 오류를 모국어 간섭으로 단정하지 않는 태도가 필요하다. 학습자는 목표어 규칙을 지나치게 일반화하거나 학습 과정에서 임시적인 중간언어(interlanguage)를 형성하기도 한다. 따라서 대조분석은 오류 분석과 결합되어야 하며, 실제 학습자의 발화와 작문 자료에서 오류 유형을 확인한 뒤 모국어 전이, 발달적 오류, 단순 수행 실수 등을 구분하는 것이 바람직하다. 이러한 접근은 대조언어학의 설명력을 유지하면서도 학습자의 실제 언어 발달 과정을 균형 있게 이해하게 한다.</w:t>
      </w:r>
    </w:p>
    <w:p>
      <w:r>
        <w:br w:type="page"/>
      </w:r>
    </w:p>
    <w:p>
      <w:pPr>
        <w:pStyle w:val="H1K"/>
      </w:pPr>
      <w:r>
        <w:t>3. 결론</w:t>
      </w:r>
    </w:p>
    <w:p>
      <w:pPr>
        <w:ind w:firstLine="397"/>
      </w:pPr>
      <w:r>
        <w:t>한국인이 영어를 학습할 때 경험하는 어려움은 단순히 개인의 학습 능력 부족이나 암기 부족으로 설명하기 어렵다. 학습자는 이미 한국어의 음운 체계와 문법 체계, 어휘 결합 방식, 담화 관습을 안정적으로 습득한 상태에서 영어를 접하므로 새로운 언어를 처리하는 과정에서 자연스럽게 모국어의 지식을 활용한다. 이때 두 언어가 유사한 부분에서는 긍정적 전이가 발생하지만, 구조적으로 크게 다른 부분에서는 부정적 전이가 나타나 반복적인 오류와 학습 난점으로 이어질 수 있다.</w:t>
      </w:r>
    </w:p>
    <w:p>
      <w:pPr>
        <w:ind w:firstLine="397"/>
      </w:pPr>
      <w:r>
        <w:t>본 과제에서 살펴본 /r/과 /l/, /f/와 /v/ 등의 자음 대립, 자음군 처리, 관사 사용, 주어 생략, SOV와 SVO의 어순 차이, 전치사와 시제·상, 연어 및 공손 표현의 차이는 한국어와 영어의 구조적 대비가 실제 학습자의 산출에 어떠한 영향을 미치는지를 보여 주는 사례이다. 이러한 오류는 대조언어학을 통해 원인을 설명할 수 있으며, 학습자에게 두 언어의 차이를 명시적으로 인식시키는 활동은 오류를 줄이는 데 실질적인 도움을 줄 수 있다.</w:t>
      </w:r>
    </w:p>
    <w:p>
      <w:pPr>
        <w:ind w:firstLine="397"/>
      </w:pPr>
      <w:r>
        <w:t>다만 대조언어학은 외국어 학습의 모든 문제를 단독으로 설명하는 이론이라기보다 학습자의 중간언어와 오류를 이해하기 위한 하나의 중요한 관점으로 활용되어야 한다. 동일한 모국어를 사용하는 학습자라도 숙달도, 학습 경험, 노출량, 개인 전략에 따라 오류 양상이 달라질 수 있기 때문이다. 따라서 교육 현장에서는 대조분석으로 예상되는 난점을 사전에 제시하고, 실제 오류 분석을 통해 학습자의 개별 문제를 확인한 뒤, 듣기·말하기·읽기·쓰기를 통합한 반복 연습으로 수정하는 방식이 바람직하다. 이러한 접근은 학습자가 자신의 모국어가 외국어 학습에 미치는 영향을 객관적으로 이해하고, 두 언어의 차이를 의식적으로 조절하는 능력을 기르는 데 기여할 것이다.</w:t>
      </w:r>
    </w:p>
    <w:p>
      <w:pPr>
        <w:pStyle w:val="H1K"/>
      </w:pPr>
      <w:r>
        <w:t>참고문헌</w:t>
      </w:r>
    </w:p>
    <w:p>
      <w:pPr>
        <w:spacing w:after="40"/>
        <w:ind w:left="340" w:hanging="340"/>
      </w:pPr>
      <w:r>
        <w:rPr>
          <w:sz w:val="17"/>
        </w:rPr>
        <w:t>Ellis, R. (2008). The Study of Second Language Acquisition (2nd ed.). Oxford University Press.</w:t>
      </w:r>
    </w:p>
    <w:p>
      <w:pPr>
        <w:spacing w:after="40"/>
        <w:ind w:left="340" w:hanging="340"/>
      </w:pPr>
      <w:r>
        <w:rPr>
          <w:sz w:val="17"/>
        </w:rPr>
        <w:t>Flege, J. E. (1995). Second language speech learning: Theory, findings, and problems. In W. Strange (Ed.), Speech Perception and Linguistic Experience: Issues in Cross-Language Research (pp. 233–277). York Press.</w:t>
      </w:r>
    </w:p>
    <w:p>
      <w:pPr>
        <w:spacing w:after="40"/>
        <w:ind w:left="340" w:hanging="340"/>
      </w:pPr>
      <w:r>
        <w:rPr>
          <w:sz w:val="17"/>
        </w:rPr>
        <w:t>Gass, S. M., &amp; Selinker, L. (2008). Second Language Acquisition: An Introductory Course (3rd ed.). Routledge.</w:t>
      </w:r>
    </w:p>
    <w:p>
      <w:pPr>
        <w:spacing w:after="40"/>
        <w:ind w:left="340" w:hanging="340"/>
      </w:pPr>
      <w:r>
        <w:rPr>
          <w:sz w:val="17"/>
        </w:rPr>
        <w:t>Lado, R. (1957). Linguistics Across Cultures: Applied Linguistics for Language Teachers. University of Michigan Press.</w:t>
      </w:r>
    </w:p>
    <w:p>
      <w:pPr>
        <w:spacing w:after="40"/>
        <w:ind w:left="340" w:hanging="340"/>
      </w:pPr>
      <w:r>
        <w:rPr>
          <w:sz w:val="17"/>
        </w:rPr>
        <w:t>Odlin, T. (1989). Language Transfer: Cross-Linguistic Influence in Language Learning. Cambridge University Press.</w:t>
      </w:r>
    </w:p>
    <w:p>
      <w:pPr>
        <w:spacing w:after="40"/>
        <w:ind w:left="340" w:hanging="340"/>
      </w:pPr>
      <w:r>
        <w:rPr>
          <w:sz w:val="17"/>
        </w:rPr>
        <w:t>Sohn, H.-M. (1999). The Korean Language. Cambridge University Press.</w:t>
      </w:r>
    </w:p>
    <w:p>
      <w:pPr>
        <w:spacing w:after="40"/>
        <w:ind w:left="340" w:hanging="340"/>
      </w:pPr>
      <w:r>
        <w:rPr>
          <w:sz w:val="17"/>
        </w:rPr>
        <w:t>Swan, M., &amp; Smith, B. (Eds.). (2001). Learner English: A Teacher’s Guide to Interference and Other Problems (2nd ed.). Cambridge University Press.</w:t>
      </w:r>
    </w:p>
    <w:p>
      <w:pPr>
        <w:spacing w:after="40"/>
        <w:ind w:left="340" w:hanging="340"/>
      </w:pPr>
      <w:r>
        <w:rPr>
          <w:sz w:val="17"/>
        </w:rPr>
        <w:t>남기심·고영근. (2014). 표준국어문법론(제4판). 박이정.</w:t>
      </w:r>
    </w:p>
    <w:p>
      <w:r>
        <w:br w:type="page"/>
      </w:r>
    </w:p>
    <w:p>
      <w:pPr>
        <w:pStyle w:val="NoticeHead"/>
      </w:pPr>
      <w:r>
        <w:t>주의사항</w:t>
      </w:r>
    </w:p>
    <w:tbl>
      <w:tblPr>
        <w:tblW w:type="auto" w:w="0"/>
        <w:jc w:val="center"/>
        <w:tblLayout w:type="fixed"/>
        <w:tblLook w:firstColumn="1" w:firstRow="1" w:lastColumn="0" w:lastRow="0" w:noHBand="0" w:noVBand="1" w:val="04A0"/>
      </w:tblPr>
      <w:tblGrid>
        <w:gridCol w:w="9071"/>
      </w:tblGrid>
      <w:tr>
        <w:tc>
          <w:tcPr>
            <w:tcW w:type="dxa" w:w="9412"/>
            <w:shd w:fill="FFF7E6"/>
          </w:tcPr>
          <w:p>
            <w:pPr>
              <w:spacing w:before="200" w:after="200" w:line="360" w:lineRule="auto"/>
            </w:pPr>
            <w:r/>
            <w:r>
              <w:rPr>
                <w:rFonts w:ascii="Noto Sans CJK KR" w:hAnsi="Noto Sans CJK KR" w:eastAsia="Noto Sans CJK KR"/>
                <w:b/>
                <w:color w:val="1F375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
      <w:pPr>
        <w:pStyle w:val="NoticeHead"/>
      </w:pPr>
      <w:r>
        <w:t>과제 수정이 어려우신가요?</w:t>
      </w:r>
    </w:p>
    <w:p>
      <w:pPr/>
      <w:r>
        <w:t>국민원격교육관리센터에서 1:1 과제 수정 도움을 드립니다. 아래 연락처로 문의해 주세요.</w:t>
      </w:r>
    </w:p>
    <w:tbl>
      <w:tblPr>
        <w:tblW w:type="auto" w:w="0"/>
        <w:jc w:val="left"/>
        <w:tblLayout w:type="fixed"/>
        <w:tblLook w:firstColumn="1" w:firstRow="1" w:lastColumn="0" w:lastRow="0" w:noHBand="0" w:noVBand="1" w:val="04A0"/>
      </w:tblPr>
      <w:tblGrid>
        <w:gridCol w:w="1814"/>
        <w:gridCol w:w="6520"/>
      </w:tblGrid>
      <w:tr>
        <w:tc>
          <w:tcPr>
            <w:tcW w:type="dxa" w:w="4706"/>
            <w:shd w:fill="EAF3EF"/>
            <w:vAlign w:val="center"/>
          </w:tcPr>
          <w:p>
            <w:pPr>
              <w:spacing w:after="0"/>
              <w:jc w:val="center"/>
            </w:pPr>
            <w:r/>
            <w:r>
              <w:rPr>
                <w:rFonts w:ascii="Noto Sans CJK KR" w:hAnsi="Noto Sans CJK KR" w:eastAsia="Noto Sans CJK KR"/>
                <w:b/>
                <w:color w:val="3E7C68"/>
                <w:sz w:val="20"/>
              </w:rPr>
              <w:t>전화</w:t>
            </w:r>
          </w:p>
        </w:tc>
        <w:tc>
          <w:tcPr>
            <w:tcW w:type="dxa" w:w="4706"/>
            <w:vAlign w:val="center"/>
          </w:tcPr>
          <w:p>
            <w:pPr>
              <w:spacing w:after="0"/>
              <w:jc w:val="left"/>
            </w:pPr>
            <w:r/>
            <w:r>
              <w:rPr>
                <w:rFonts w:ascii="Noto Sans CJK KR" w:hAnsi="Noto Sans CJK KR" w:eastAsia="Noto Sans CJK KR"/>
                <w:b w:val="0"/>
                <w:color w:val="1F3753"/>
                <w:sz w:val="20"/>
              </w:rPr>
              <w:t>050-7878-7044</w:t>
            </w:r>
          </w:p>
        </w:tc>
      </w:tr>
      <w:tr>
        <w:tc>
          <w:tcPr>
            <w:tcW w:type="dxa" w:w="4706"/>
            <w:shd w:fill="EAF3EF"/>
            <w:vAlign w:val="center"/>
          </w:tcPr>
          <w:p>
            <w:pPr>
              <w:spacing w:after="0"/>
              <w:jc w:val="center"/>
            </w:pPr>
            <w:r/>
            <w:r>
              <w:rPr>
                <w:rFonts w:ascii="Noto Sans CJK KR" w:hAnsi="Noto Sans CJK KR" w:eastAsia="Noto Sans CJK KR"/>
                <w:b/>
                <w:color w:val="3E7C68"/>
                <w:sz w:val="20"/>
              </w:rPr>
              <w:t>카카오톡</w:t>
            </w:r>
          </w:p>
        </w:tc>
        <w:tc>
          <w:tcPr>
            <w:tcW w:type="dxa" w:w="4706"/>
            <w:vAlign w:val="center"/>
          </w:tcPr>
          <w:p>
            <w:pPr>
              <w:spacing w:after="0"/>
              <w:jc w:val="left"/>
            </w:pPr>
            <w:r/>
            <w:r>
              <w:rPr>
                <w:rFonts w:ascii="Noto Sans CJK KR" w:hAnsi="Noto Sans CJK KR" w:eastAsia="Noto Sans CJK KR"/>
                <w:b w:val="0"/>
                <w:color w:val="1F3753"/>
                <w:sz w:val="20"/>
              </w:rPr>
              <w:t>@국민원격교육관리센터</w:t>
            </w:r>
          </w:p>
        </w:tc>
      </w:tr>
      <w:tr>
        <w:tc>
          <w:tcPr>
            <w:tcW w:type="dxa" w:w="4706"/>
            <w:shd w:fill="EAF3EF"/>
            <w:vAlign w:val="center"/>
          </w:tcPr>
          <w:p>
            <w:pPr>
              <w:spacing w:after="0"/>
              <w:jc w:val="center"/>
            </w:pPr>
            <w:r/>
            <w:r>
              <w:rPr>
                <w:rFonts w:ascii="Noto Sans CJK KR" w:hAnsi="Noto Sans CJK KR" w:eastAsia="Noto Sans CJK KR"/>
                <w:b/>
                <w:color w:val="3E7C68"/>
                <w:sz w:val="20"/>
              </w:rPr>
              <w:t>운영시간</w:t>
            </w:r>
          </w:p>
        </w:tc>
        <w:tc>
          <w:tcPr>
            <w:tcW w:type="dxa" w:w="4706"/>
            <w:vAlign w:val="center"/>
          </w:tcPr>
          <w:p>
            <w:pPr>
              <w:spacing w:after="0"/>
              <w:jc w:val="left"/>
            </w:pPr>
            <w:r/>
            <w:r>
              <w:rPr>
                <w:rFonts w:ascii="Noto Sans CJK KR" w:hAnsi="Noto Sans CJK KR" w:eastAsia="Noto Sans CJK KR"/>
                <w:b w:val="0"/>
                <w:color w:val="1F3753"/>
                <w:sz w:val="20"/>
              </w:rPr>
              <w:t>평일 10:00–19:00</w:t>
            </w:r>
          </w:p>
        </w:tc>
      </w:tr>
      <w:tr>
        <w:tc>
          <w:tcPr>
            <w:tcW w:type="dxa" w:w="4706"/>
            <w:shd w:fill="EAF3EF"/>
            <w:vAlign w:val="center"/>
          </w:tcPr>
          <w:p>
            <w:pPr>
              <w:spacing w:after="0"/>
              <w:jc w:val="center"/>
            </w:pPr>
            <w:r/>
            <w:r>
              <w:rPr>
                <w:rFonts w:ascii="Noto Sans CJK KR" w:hAnsi="Noto Sans CJK KR" w:eastAsia="Noto Sans CJK KR"/>
                <w:b/>
                <w:color w:val="3E7C68"/>
                <w:sz w:val="20"/>
              </w:rPr>
              <w:t>웹사이트</w:t>
            </w:r>
          </w:p>
        </w:tc>
        <w:tc>
          <w:tcPr>
            <w:tcW w:type="dxa" w:w="4706"/>
            <w:vAlign w:val="center"/>
          </w:tcPr>
          <w:p>
            <w:pPr>
              <w:spacing w:after="0"/>
              <w:jc w:val="left"/>
            </w:pPr>
            <w:r/>
            <w:r>
              <w:rPr>
                <w:rFonts w:ascii="Noto Sans CJK KR" w:hAnsi="Noto Sans CJK KR" w:eastAsia="Noto Sans CJK KR"/>
                <w:b w:val="0"/>
                <w:color w:val="1F3753"/>
                <w:sz w:val="20"/>
              </w:rPr>
              <w:t>korealms.co.kr</w:t>
            </w:r>
          </w:p>
        </w:tc>
      </w:tr>
    </w:tbl>
    <w:p>
      <w:pPr>
        <w:spacing w:before="360"/>
        <w:jc w:val="center"/>
      </w:pPr>
      <w:r>
        <w:rPr>
          <w:rFonts w:ascii="Noto Sans CJK KR" w:hAnsi="Noto Sans CJK KR" w:eastAsia="Noto Sans CJK KR"/>
          <w:b/>
          <w:color w:val="1F3753"/>
          <w:sz w:val="24"/>
        </w:rPr>
        <w:t>국민원격교육관리센터</w:t>
      </w:r>
    </w:p>
    <w:sectPr w:rsidR="00FC693F" w:rsidRPr="0006063C" w:rsidSect="00034616">
      <w:headerReference w:type="default" r:id="rId9"/>
      <w:footerReference w:type="default" r:id="rId10"/>
      <w:pgSz w:w="11906" w:h="16838"/>
      <w:pgMar w:top="1020" w:right="1247"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7"/>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oto Sans CJK KR" w:hAnsi="Noto Sans CJK KR" w:eastAsia="Noto Sans CJK KR"/>
        <w:color w:val="646464"/>
        <w:sz w:val="17"/>
      </w:rPr>
      <w:t>대조언어학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1" w:lineRule="auto" w:after="80"/>
      <w:jc w:val="both"/>
    </w:pPr>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Title">
    <w:name w:val="CoverTitle"/>
    <w:pPr>
      <w:spacing w:before="0" w:after="200"/>
      <w:jc w:val="center"/>
    </w:pPr>
    <w:rPr>
      <w:rFonts w:ascii="Noto Sans CJK KR" w:hAnsi="Noto Sans CJK KR" w:eastAsia="Noto Sans CJK KR"/>
      <w:b/>
      <w:color w:val="1F3753"/>
      <w:sz w:val="44"/>
    </w:rPr>
  </w:style>
  <w:style w:type="paragraph" w:customStyle="1" w:styleId="CoverSub">
    <w:name w:val="CoverSub"/>
    <w:pPr>
      <w:spacing w:before="0" w:after="80"/>
      <w:jc w:val="center"/>
    </w:pPr>
    <w:rPr>
      <w:rFonts w:ascii="Noto Sans CJK KR" w:hAnsi="Noto Sans CJK KR" w:eastAsia="Noto Sans CJK KR"/>
      <w:b w:val="0"/>
      <w:color w:val="646464"/>
      <w:sz w:val="24"/>
    </w:rPr>
  </w:style>
  <w:style w:type="paragraph" w:customStyle="1" w:styleId="H1K">
    <w:name w:val="H1K"/>
    <w:pPr>
      <w:spacing w:before="0" w:after="180"/>
      <w:jc w:val="left"/>
    </w:pPr>
    <w:rPr>
      <w:rFonts w:ascii="Noto Sans CJK KR" w:hAnsi="Noto Sans CJK KR" w:eastAsia="Noto Sans CJK KR"/>
      <w:b/>
      <w:color w:val="1F3753"/>
      <w:sz w:val="30"/>
    </w:rPr>
  </w:style>
  <w:style w:type="paragraph" w:customStyle="1" w:styleId="H2K">
    <w:name w:val="H2K"/>
    <w:pPr>
      <w:spacing w:before="160" w:after="120"/>
      <w:jc w:val="left"/>
    </w:pPr>
    <w:rPr>
      <w:rFonts w:ascii="Noto Sans CJK KR" w:hAnsi="Noto Sans CJK KR" w:eastAsia="Noto Sans CJK KR"/>
      <w:b/>
      <w:color w:val="3E7C68"/>
      <w:sz w:val="24"/>
    </w:rPr>
  </w:style>
  <w:style w:type="paragraph" w:customStyle="1" w:styleId="SmallK">
    <w:name w:val="SmallK"/>
    <w:pPr>
      <w:spacing w:before="0" w:after="60"/>
      <w:jc w:val="left"/>
    </w:pPr>
    <w:rPr>
      <w:rFonts w:ascii="Noto Sans CJK KR" w:hAnsi="Noto Sans CJK KR" w:eastAsia="Noto Sans CJK KR"/>
      <w:b w:val="0"/>
      <w:color w:val="646464"/>
      <w:sz w:val="19"/>
    </w:rPr>
  </w:style>
  <w:style w:type="paragraph" w:customStyle="1" w:styleId="NoticeHead">
    <w:name w:val="NoticeHead"/>
    <w:pPr>
      <w:spacing w:before="0" w:after="160"/>
      <w:jc w:val="left"/>
    </w:pPr>
    <w:rPr>
      <w:rFonts w:ascii="Noto Sans CJK KR" w:hAnsi="Noto Sans CJK KR" w:eastAsia="Noto Sans CJK KR"/>
      <w:b/>
      <w:color w:val="1F3753"/>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