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840"/>
        <w:jc w:val="center"/>
      </w:pPr>
      <w:r>
        <w:rPr>
          <w:b/>
          <w:sz w:val="52"/>
        </w:rPr>
        <w:t>학습심리학</w:t>
      </w:r>
    </w:p>
    <w:p>
      <w:pPr>
        <w:spacing w:before="360"/>
        <w:jc w:val="center"/>
      </w:pPr>
      <w:r>
        <w:rPr>
          <w:b/>
          <w:sz w:val="34"/>
        </w:rPr>
        <w:t>고전적 조건형성의 정의와 네 가지 요소를 설명하고</w:t>
        <w:br/>
        <w:t>실생활 적용 사례를 제시</w:t>
      </w:r>
    </w:p>
    <w:p>
      <w:r>
        <w:br/>
      </w:r>
    </w:p>
    <w:tbl>
      <w:tblPr>
        <w:tblStyle w:val="TableGrid"/>
        <w:tblW w:type="auto" w:w="0"/>
        <w:jc w:val="center"/>
        <w:tblLook w:firstColumn="1" w:firstRow="1" w:lastColumn="0" w:lastRow="0" w:noHBand="0" w:noVBand="1" w:val="04A0"/>
      </w:tblPr>
      <w:tblGrid>
        <w:gridCol w:w="4759"/>
        <w:gridCol w:w="4759"/>
      </w:tblGrid>
      <w:tr>
        <w:tc>
          <w:tcPr>
            <w:tcW w:type="dxa" w:w="4759"/>
            <w:vAlign w:val="center"/>
          </w:tcPr>
          <w:p>
            <w:pPr>
              <w:jc w:val="center"/>
            </w:pPr>
            <w:r>
              <w:rPr>
                <w:rFonts w:ascii="Malgun Gothic" w:hAnsi="Malgun Gothic" w:eastAsia="맑은 고딕"/>
                <w:sz w:val="21"/>
              </w:rPr>
              <w:t>과목명</w:t>
            </w:r>
          </w:p>
        </w:tc>
        <w:tc>
          <w:tcPr>
            <w:tcW w:type="dxa" w:w="4759"/>
            <w:vAlign w:val="center"/>
          </w:tcPr>
          <w:p>
            <w:pPr>
              <w:jc w:val="center"/>
            </w:pPr>
            <w:r>
              <w:rPr>
                <w:rFonts w:ascii="Malgun Gothic" w:hAnsi="Malgun Gothic" w:eastAsia="맑은 고딕"/>
                <w:sz w:val="21"/>
              </w:rPr>
              <w:t>학습심리학</w:t>
            </w:r>
          </w:p>
        </w:tc>
      </w:tr>
      <w:tr>
        <w:tc>
          <w:tcPr>
            <w:tcW w:type="dxa" w:w="4759"/>
            <w:vAlign w:val="center"/>
          </w:tcPr>
          <w:p>
            <w:pPr>
              <w:jc w:val="center"/>
            </w:pPr>
            <w:r>
              <w:rPr>
                <w:rFonts w:ascii="Malgun Gothic" w:hAnsi="Malgun Gothic" w:eastAsia="맑은 고딕"/>
                <w:sz w:val="21"/>
              </w:rPr>
              <w:t>제출일</w:t>
            </w:r>
          </w:p>
        </w:tc>
        <w:tc>
          <w:tcPr>
            <w:tcW w:type="dxa" w:w="4759"/>
            <w:vAlign w:val="center"/>
          </w:tcPr>
          <w:p>
            <w:pPr>
              <w:jc w:val="center"/>
            </w:pPr>
            <w:r>
              <w:rPr>
                <w:rFonts w:ascii="Malgun Gothic" w:hAnsi="Malgun Gothic" w:eastAsia="맑은 고딕"/>
                <w:sz w:val="21"/>
              </w:rPr>
              <w:t>________________</w:t>
            </w:r>
          </w:p>
        </w:tc>
      </w:tr>
      <w:tr>
        <w:tc>
          <w:tcPr>
            <w:tcW w:type="dxa" w:w="4759"/>
            <w:vAlign w:val="center"/>
          </w:tcPr>
          <w:p>
            <w:pPr>
              <w:jc w:val="center"/>
            </w:pPr>
            <w:r>
              <w:rPr>
                <w:rFonts w:ascii="Malgun Gothic" w:hAnsi="Malgun Gothic" w:eastAsia="맑은 고딕"/>
                <w:sz w:val="21"/>
              </w:rPr>
              <w:t>제출자</w:t>
            </w:r>
          </w:p>
        </w:tc>
        <w:tc>
          <w:tcPr>
            <w:tcW w:type="dxa" w:w="4759"/>
            <w:vAlign w:val="center"/>
          </w:tcPr>
          <w:p>
            <w:pPr>
              <w:jc w:val="center"/>
            </w:pPr>
            <w:r>
              <w:rPr>
                <w:rFonts w:ascii="Malgun Gothic" w:hAnsi="Malgun Gothic" w:eastAsia="맑은 고딕"/>
                <w:sz w:val="21"/>
              </w:rPr>
              <w:t>________________</w:t>
            </w:r>
          </w:p>
        </w:tc>
      </w:tr>
    </w:tbl>
    <w:p/>
    <w:p>
      <w:pPr>
        <w:jc w:val="center"/>
      </w:pPr>
      <w:r>
        <w:rPr>
          <w:b/>
          <w:sz w:val="30"/>
        </w:rPr>
        <w:t>목 차</w:t>
      </w:r>
    </w:p>
    <w:p>
      <w:pPr>
        <w:spacing w:after="40"/>
        <w:ind w:left="2381"/>
      </w:pPr>
      <w:r>
        <w:t>Ⅰ. 서론</w:t>
      </w:r>
    </w:p>
    <w:p>
      <w:pPr>
        <w:spacing w:after="40"/>
        <w:ind w:left="2381"/>
      </w:pPr>
      <w:r>
        <w:t>Ⅱ. 본론</w:t>
      </w:r>
    </w:p>
    <w:p>
      <w:pPr>
        <w:spacing w:after="40"/>
        <w:ind w:left="2381"/>
      </w:pPr>
      <w:r>
        <w:t xml:space="preserve">  1. 고전적 조건형성의 정의</w:t>
      </w:r>
    </w:p>
    <w:p>
      <w:pPr>
        <w:spacing w:after="40"/>
        <w:ind w:left="2381"/>
      </w:pPr>
      <w:r>
        <w:t xml:space="preserve">  2. 고전적 조건형성의 네 가지 요소</w:t>
      </w:r>
    </w:p>
    <w:p>
      <w:pPr>
        <w:spacing w:after="40"/>
        <w:ind w:left="2381"/>
      </w:pPr>
      <w:r>
        <w:t xml:space="preserve">  3. 조건형성의 주요 과정과 특징</w:t>
      </w:r>
    </w:p>
    <w:p>
      <w:pPr>
        <w:spacing w:after="40"/>
        <w:ind w:left="2381"/>
      </w:pPr>
      <w:r>
        <w:t xml:space="preserve">  4. 실생활 적용 사례</w:t>
      </w:r>
    </w:p>
    <w:p>
      <w:pPr>
        <w:spacing w:after="40"/>
        <w:ind w:left="2381"/>
      </w:pPr>
      <w:r>
        <w:t>Ⅲ. 결론</w:t>
      </w:r>
    </w:p>
    <w:p>
      <w:pPr>
        <w:spacing w:after="40"/>
        <w:ind w:left="2381"/>
      </w:pPr>
      <w:r>
        <w:t>Ⅳ. 참고문헌</w:t>
      </w:r>
    </w:p>
    <w:p>
      <w:r>
        <w:br w:type="page"/>
      </w:r>
    </w:p>
    <w:p>
      <w:pPr>
        <w:pStyle w:val="Heading1"/>
        <w:spacing w:before="200" w:after="140"/>
      </w:pPr>
      <w:r>
        <w:t>Ⅰ. 서론</w:t>
      </w:r>
    </w:p>
    <w:p>
      <w:pPr>
        <w:ind w:firstLine="397"/>
        <w:jc w:val="both"/>
      </w:pPr>
      <w:r>
        <w:t>학습은 경험을 통해 비교적 지속적인 행동 또는 행동 가능성의 변화가 나타나는 과정이다. 인간과 동물은 환경 속에서 반복적으로 제시되는 사건들 사이의 관계를 파악하고, 그 관계를 바탕으로 미래의 사건을 예측하거나 특정 자극에 반응한다. 학습심리학은 이러한 변화가 어떠한 원리에 의해 형성되고 유지되는지를 탐구하며, 그중 고전적 조건형성은 자극과 자극 사이의 연합을 설명하는 대표적인 학습 원리로 평가된다.</w:t>
      </w:r>
    </w:p>
    <w:p>
      <w:pPr>
        <w:ind w:firstLine="397"/>
        <w:jc w:val="both"/>
      </w:pPr>
      <w:r>
        <w:t>고전적 조건형성은 러시아의 생리학자 이반 파블로프의 소화 연구 과정에서 체계적으로 관찰되었다. 처음에는 먹이가 제시될 때만 침을 흘리던 개가 실험이 반복되면서 먹이를 가져오는 사람의 발소리나 실험실의 특정 신호에도 침을 흘리는 현상이 나타났다. 이는 생물학적으로 의미가 없던 자극도 중요한 사건과 반복적으로 결합되면 새로운 반응을 유발할 수 있음을 보여준다. 이러한 원리는 단순한 동물 실험에 머물지 않고 인간의 정서, 광고, 교육, 습관, 공포 반응 등 다양한 생활 장면을 이해하는 데 활용되고 있다.</w:t>
      </w:r>
    </w:p>
    <w:p>
      <w:pPr>
        <w:ind w:firstLine="397"/>
        <w:jc w:val="both"/>
      </w:pPr>
      <w:r>
        <w:t>본 과제에서는 고전적 조건형성의 정의를 살펴보고, 무조건자극·무조건반응·조건자극·조건반응이라는 네 가지 핵심 요소를 구분하여 설명한다. 또한 획득, 소거, 자발적 회복, 일반화와 변별 등 관련 과정을 정리한 뒤 일상생활에서 관찰할 수 있는 사례를 통해 고전적 조건형성이 실제 행동과 정서에 어떠한 방식으로 작용하는지 분석하고자 한다.</w:t>
      </w:r>
    </w:p>
    <w:p>
      <w:pPr>
        <w:pStyle w:val="Heading1"/>
        <w:spacing w:before="200" w:after="140"/>
      </w:pPr>
      <w:r>
        <w:t>Ⅱ. 본론</w:t>
      </w:r>
    </w:p>
    <w:p>
      <w:pPr>
        <w:pStyle w:val="Heading2"/>
        <w:spacing w:before="200" w:after="140"/>
      </w:pPr>
      <w:r>
        <w:t>1. 고전적 조건형성의 정의</w:t>
      </w:r>
    </w:p>
    <w:p>
      <w:pPr>
        <w:ind w:firstLine="397"/>
        <w:jc w:val="both"/>
      </w:pPr>
      <w:r>
        <w:t>고전적 조건형성(classical conditioning)이란 본래 특정 반응을 일으키지 않던 중성적인 자극이 생물학적으로 반응을 유발하는 자극과 반복적으로 연합됨으로써, 이후에는 그 중성 자극만으로도 유사한 반응이 나타나게 되는 학습 과정이다. 핵심은 행동의 결과에 따라 행동 빈도가 달라지는 것이 아니라, 시간적으로 가까이 제시되는 두 자극 사이의 관계를 학습한다는 데 있다.</w:t>
      </w:r>
    </w:p>
    <w:p>
      <w:pPr>
        <w:ind w:firstLine="397"/>
        <w:jc w:val="both"/>
      </w:pPr>
      <w:r>
        <w:t>파블로프의 대표적인 실험을 예로 들면 먹이는 개에게 자연스럽게 침 분비를 일으키는 자극이다. 반면 종소리는 처음에는 침 분비와 직접적인 관계가 없는 중성자극이다. 그러나 종소리를 들려준 직후 먹이를 제공하는 절차를 반복하면 개는 종소리와 먹이의 관계를 학습한다. 이후 먹이가 없어도 종소리만 듣고 침을 흘리게 되며, 이때 종소리는 조건자극이 되고 종소리에 의해 나타난 침 분비는 조건반응이 된다.</w:t>
      </w:r>
    </w:p>
    <w:p>
      <w:pPr>
        <w:ind w:firstLine="397"/>
        <w:jc w:val="both"/>
      </w:pPr>
      <w:r>
        <w:t>현대적 관점에서는 단순히 두 자극이 함께 반복되는 것만으로 조건형성이 설명되지는 않는다. 유기체가 조건자극을 통해 무조건자극의 출현을 얼마나 잘 예측할 수 있는지가 중요하다. 즉 조건자극이 앞으로 중요한 사건이 일어날 것이라는 정보를 제공할 때 연합이 더 효과적으로 형성된다. 따라서 고전적 조건형성은 수동적인 반사 학습이라기보다 환경의 규칙성과 예측 관계를 학습하는 과정으로 이해할 수 있다.</w:t>
      </w:r>
    </w:p>
    <w:p>
      <w:pPr>
        <w:pStyle w:val="Heading2"/>
        <w:spacing w:before="200" w:after="140"/>
      </w:pPr>
      <w:r>
        <w:t>2. 고전적 조건형성의 네 가지 요소</w:t>
      </w:r>
    </w:p>
    <w:p>
      <w:pPr>
        <w:ind w:firstLine="397"/>
        <w:jc w:val="both"/>
      </w:pPr>
      <w:r>
        <w:t>첫째, 무조건자극(unconditioned stimulus, US)은 별도의 학습 경험이 없어도 자연스럽고 자동적인 반응을 일으키는 자극이다. 음식이 침 분비를 유발하거나 갑작스러운 큰 소리가 놀람 반응을 유발하는 경우가 이에 해당한다. 무조건자극은 생물학적으로 의미가 있기 때문에 조건화 이전부터 일정한 반응을 유발한다.</w:t>
      </w:r>
    </w:p>
    <w:p>
      <w:pPr>
        <w:ind w:firstLine="397"/>
        <w:jc w:val="both"/>
      </w:pPr>
      <w:r>
        <w:t>둘째, 무조건반응(unconditioned response, UR)은 무조건자극에 의해 자연스럽게 나타나는 반응이다. 음식에 대한 침 분비, 눈에 강한 바람이 불 때 눈을 감는 반응, 통증 자극에 몸을 움츠리는 반응 등이 대표적이다. 이 반응은 특정한 연합을 학습한 결과가 아니라 선천적이거나 이미 확립된 반응이라는 점이 특징이다.</w:t>
      </w:r>
    </w:p>
    <w:p>
      <w:pPr>
        <w:ind w:firstLine="397"/>
        <w:jc w:val="both"/>
      </w:pPr>
      <w:r>
        <w:t>셋째, 조건자극(conditioned stimulus, CS)은 조건형성 이전에는 목표 반응을 거의 일으키지 않던 중성자극이지만, 무조건자극과 반복적으로 짝지어진 후 새로운 의미를 획득한 자극이다. 파블로프 실험의 종소리, 치과 치료에서 통증 경험과 반복적으로 연결된 치과 특유의 소리, 즐거운 경험과 지속적으로 연결된 특정 음악 등이 조건자극이 될 수 있다.</w:t>
      </w:r>
    </w:p>
    <w:p>
      <w:pPr>
        <w:ind w:firstLine="397"/>
        <w:jc w:val="both"/>
      </w:pPr>
      <w:r>
        <w:t>넷째, 조건반응(conditioned response, CR)은 학습이 이루어진 후 조건자극만으로 나타나는 반응이다. 종소리를 듣고 침을 흘리는 반응이나 치과 기계 소리만 들어도 긴장하는 반응 등이 이에 해당한다. 조건반응은 무조건반응과 유사할 수 있지만 완전히 동일한 것은 아니며, 학습된 자극에 의해 유발된다는 점에서 구분된다.</w:t>
      </w:r>
    </w:p>
    <w:tbl>
      <w:tblPr>
        <w:tblStyle w:val="TableGrid"/>
        <w:tblW w:type="auto" w:w="0"/>
        <w:jc w:val="center"/>
        <w:tblLook w:firstColumn="1" w:firstRow="1" w:lastColumn="0" w:lastRow="0" w:noHBand="0" w:noVBand="1" w:val="04A0"/>
      </w:tblPr>
      <w:tblGrid>
        <w:gridCol w:w="3173"/>
        <w:gridCol w:w="3173"/>
        <w:gridCol w:w="3173"/>
      </w:tblGrid>
      <w:tr>
        <w:tc>
          <w:tcPr>
            <w:tcW w:type="dxa" w:w="3173"/>
          </w:tcPr>
          <w:p>
            <w:r>
              <w:t>요소</w:t>
            </w:r>
          </w:p>
        </w:tc>
        <w:tc>
          <w:tcPr>
            <w:tcW w:type="dxa" w:w="3173"/>
          </w:tcPr>
          <w:p>
            <w:r>
              <w:t>의미</w:t>
            </w:r>
          </w:p>
        </w:tc>
        <w:tc>
          <w:tcPr>
            <w:tcW w:type="dxa" w:w="3173"/>
          </w:tcPr>
          <w:p>
            <w:r>
              <w:t>파블로프 실험의 예</w:t>
            </w:r>
          </w:p>
        </w:tc>
      </w:tr>
      <w:tr>
        <w:tc>
          <w:tcPr>
            <w:tcW w:type="dxa" w:w="3173"/>
          </w:tcPr>
          <w:p>
            <w:r>
              <w:t>무조건자극(US)</w:t>
            </w:r>
          </w:p>
        </w:tc>
        <w:tc>
          <w:tcPr>
            <w:tcW w:type="dxa" w:w="3173"/>
          </w:tcPr>
          <w:p>
            <w:r>
              <w:t>학습 없이 자연적 반응을 유발하는 자극</w:t>
            </w:r>
          </w:p>
        </w:tc>
        <w:tc>
          <w:tcPr>
            <w:tcW w:type="dxa" w:w="3173"/>
          </w:tcPr>
          <w:p>
            <w:r>
              <w:t>먹이</w:t>
            </w:r>
          </w:p>
        </w:tc>
      </w:tr>
      <w:tr>
        <w:tc>
          <w:tcPr>
            <w:tcW w:type="dxa" w:w="3173"/>
          </w:tcPr>
          <w:p>
            <w:r>
              <w:t>무조건반응(UR)</w:t>
            </w:r>
          </w:p>
        </w:tc>
        <w:tc>
          <w:tcPr>
            <w:tcW w:type="dxa" w:w="3173"/>
          </w:tcPr>
          <w:p>
            <w:r>
              <w:t>무조건자극에 대한 자연적 반응</w:t>
            </w:r>
          </w:p>
        </w:tc>
        <w:tc>
          <w:tcPr>
            <w:tcW w:type="dxa" w:w="3173"/>
          </w:tcPr>
          <w:p>
            <w:r>
              <w:t>먹이에 대한 침 분비</w:t>
            </w:r>
          </w:p>
        </w:tc>
      </w:tr>
      <w:tr>
        <w:tc>
          <w:tcPr>
            <w:tcW w:type="dxa" w:w="3173"/>
          </w:tcPr>
          <w:p>
            <w:r>
              <w:t>조건자극(CS)</w:t>
            </w:r>
          </w:p>
        </w:tc>
        <w:tc>
          <w:tcPr>
            <w:tcW w:type="dxa" w:w="3173"/>
          </w:tcPr>
          <w:p>
            <w:r>
              <w:t>연합 학습 후 의미를 획득한 자극</w:t>
            </w:r>
          </w:p>
        </w:tc>
        <w:tc>
          <w:tcPr>
            <w:tcW w:type="dxa" w:w="3173"/>
          </w:tcPr>
          <w:p>
            <w:r>
              <w:t>종소리</w:t>
            </w:r>
          </w:p>
        </w:tc>
      </w:tr>
      <w:tr>
        <w:tc>
          <w:tcPr>
            <w:tcW w:type="dxa" w:w="3173"/>
          </w:tcPr>
          <w:p>
            <w:r>
              <w:t>조건반응(CR)</w:t>
            </w:r>
          </w:p>
        </w:tc>
        <w:tc>
          <w:tcPr>
            <w:tcW w:type="dxa" w:w="3173"/>
          </w:tcPr>
          <w:p>
            <w:r>
              <w:t>조건자극에 의해 학습되어 나타나는 반응</w:t>
            </w:r>
          </w:p>
        </w:tc>
        <w:tc>
          <w:tcPr>
            <w:tcW w:type="dxa" w:w="3173"/>
          </w:tcPr>
          <w:p>
            <w:r>
              <w:t>종소리에 대한 침 분비</w:t>
            </w:r>
          </w:p>
        </w:tc>
      </w:tr>
    </w:tbl>
    <w:p>
      <w:r>
        <w:br w:type="page"/>
      </w:r>
    </w:p>
    <w:p>
      <w:pPr>
        <w:pStyle w:val="Heading2"/>
        <w:spacing w:before="200" w:after="140"/>
      </w:pPr>
      <w:r>
        <w:t>3. 조건형성의 주요 과정과 특징</w:t>
      </w:r>
    </w:p>
    <w:p>
      <w:pPr>
        <w:ind w:firstLine="397"/>
        <w:jc w:val="both"/>
      </w:pPr>
      <w:r>
        <w:t>조건자극과 무조건자극을 반복적으로 결합하여 조건반응이 점차 형성되는 과정을 획득이라고 한다. 일반적으로 조건자극이 먼저 제시되고 곧이어 무조건자극이 제시될 때 효과적인 조건형성이 일어나기 쉽다. 조건자극이 무조건자극의 출현을 예고하는 신호로 기능하기 때문이다.</w:t>
      </w:r>
    </w:p>
    <w:p>
      <w:pPr>
        <w:ind w:firstLine="397"/>
        <w:jc w:val="both"/>
      </w:pPr>
      <w:r>
        <w:t>조건형성이 이루어진 뒤 조건자극만 계속 제시하고 무조건자극을 더 이상 제공하지 않으면 조건반응의 강도는 점차 약해지는데, 이를 소거라고 한다. 소거는 기존 학습이 완전히 삭제되는 것이라기보다 조건자극이 더 이상 이전의 결과를 예측하지 않는다는 새로운 관계를 학습하는 과정으로 볼 수 있다. 소거 후 일정 시간이 지나 조건자극을 다시 제시했을 때 사라졌던 조건반응이 일시적으로 다시 나타나는 현상은 자발적 회복이라 한다.</w:t>
      </w:r>
    </w:p>
    <w:p>
      <w:pPr>
        <w:ind w:firstLine="397"/>
        <w:jc w:val="both"/>
      </w:pPr>
      <w:r>
        <w:t>자극 일반화는 원래의 조건자극과 유사한 다른 자극에도 조건반응이 나타나는 현상이다. 예를 들어 특정 견종에게 물린 경험으로 공포가 조건화된 사람이 비슷한 외형의 다른 개를 보았을 때도 두려움을 느낄 수 있다. 반대로 자극 변별은 여러 유사한 자극 중 실제로 중요한 결과를 예측하는 특정 자극에만 반응하도록 학습하는 것이다. 이러한 일반화와 변별은 환경에 적응하는 데 모두 필요하다.</w:t>
      </w:r>
    </w:p>
    <w:p>
      <w:pPr>
        <w:pStyle w:val="Heading2"/>
        <w:spacing w:before="200" w:after="140"/>
      </w:pPr>
      <w:r>
        <w:t>4. 실생활 적용 사례</w:t>
      </w:r>
    </w:p>
    <w:p>
      <w:pPr>
        <w:pStyle w:val="Heading2"/>
        <w:spacing w:before="200" w:after="140"/>
      </w:pPr>
      <w:r>
        <w:t>가. 치과 치료 경험과 불안 반응</w:t>
      </w:r>
    </w:p>
    <w:p>
      <w:pPr>
        <w:ind w:firstLine="397"/>
        <w:jc w:val="both"/>
      </w:pPr>
      <w:r>
        <w:t>치과 치료 상황은 고전적 조건형성을 비교적 명확하게 관찰할 수 있는 사례이다. 치료 과정에서 느낀 통증을 무조건자극, 통증으로 인해 발생하는 긴장과 두려움을 무조건반응으로 볼 수 있다. 처음에는 특별한 정서 반응을 일으키지 않았던 치과용 기계 소리나 특유의 냄새가 통증 경험과 반복적으로 결합되면 조건자극이 될 수 있다. 이후 실제 치료가 시작되기 전에도 해당 소리나 냄새만으로 심장이 빨리 뛰거나 몸이 긴장하는 조건반응이 나타날 수 있다.</w:t>
      </w:r>
    </w:p>
    <w:p>
      <w:pPr>
        <w:ind w:firstLine="397"/>
        <w:jc w:val="both"/>
      </w:pPr>
      <w:r>
        <w:t>이 사례는 특정 장소에 대한 불안이 단순한 의지 부족 때문이 아니라 과거 경험에서 형성된 자극 연합의 결과일 수 있음을 보여준다. 이러한 반응을 완화하려면 안전한 상황에서 조건자극에 점진적으로 노출하면서 통증이 발생하지 않는 새로운 경험을 반복하여 기존의 예측 관계를 약화시키는 접근을 고려할 수 있다.</w:t>
      </w:r>
    </w:p>
    <w:p>
      <w:pPr>
        <w:pStyle w:val="Heading2"/>
        <w:spacing w:before="200" w:after="140"/>
      </w:pPr>
      <w:r>
        <w:t>나. 광고와 긍정적 정서의 연합</w:t>
      </w:r>
    </w:p>
    <w:p>
      <w:pPr>
        <w:ind w:firstLine="397"/>
        <w:jc w:val="both"/>
      </w:pPr>
      <w:r>
        <w:t>광고에서는 상품 자체가 처음에는 특별한 감정 반응을 일으키지 않더라도 즐거운 음악, 호감도가 높은 인물, 아름다운 풍경, 따뜻한 가족 장면 등 긍정적 정서를 일으키는 자극과 반복적으로 결합시키는 방법이 사용된다. 소비자가 광고 속 긍정적 이미지와 상품을 반복적으로 함께 접하면 상품이나 브랜드 로고만 보아도 호감이나 편안함이 유발될 가능성이 있다.</w:t>
      </w:r>
    </w:p>
    <w:p>
      <w:pPr>
        <w:ind w:firstLine="397"/>
        <w:jc w:val="both"/>
      </w:pPr>
      <w:r>
        <w:t>예를 들어 음료 광고가 여름 휴가, 시원한 물소리, 즐거운 친구 관계와 지속적으로 결합된다면 소비자는 매장에서 해당 상품을 보았을 때 광고에서 경험한 긍정적 정서를 어느 정도 떠올릴 수 있다. 다만 실제 소비 행동은 가격, 필요성, 사회적 영향, 개인 취향 등 다양한 요인의 영향을 받으므로 광고 효과 전체를 고전적 조건형성 하나로만 설명해서는 안 된다.</w:t>
      </w:r>
    </w:p>
    <w:p>
      <w:pPr>
        <w:pStyle w:val="Heading2"/>
        <w:spacing w:before="200" w:after="140"/>
      </w:pPr>
      <w:r>
        <w:t>다. 스마트폰 알림음과 확인 행동 전의 기대 반응</w:t>
      </w:r>
    </w:p>
    <w:p>
      <w:pPr>
        <w:ind w:firstLine="397"/>
        <w:jc w:val="both"/>
      </w:pPr>
      <w:r>
        <w:t>스마트폰 알림음도 반복적인 연합을 통해 정서적 반응을 일으킬 수 있다. 메시지 도착이나 사회적 관심이 즐거움과 기대를 유발해 왔다면, 처음에는 중성적이었던 알림음이 메시지 수신과 반복적으로 연결되면서 조건자극의 기능을 할 수 있다. 이후 실제 내용을 확인하기 전에도 알림음을 듣는 순간 기대감이나 긴장감이 나타날 수 있다.</w:t>
      </w:r>
    </w:p>
    <w:p>
      <w:pPr>
        <w:ind w:firstLine="397"/>
        <w:jc w:val="both"/>
      </w:pPr>
      <w:r>
        <w:t>이때 스마트폰을 실제로 확인하는 행동 자체는 행동의 결과에 의해 강화되는 조작적 조건형성의 영향을 함께 받을 수 있다. 따라서 현실의 행동은 하나의 학습 원리만으로 설명되는 경우가 드물다. 고전적 조건형성은 특히 알림음이 자동적인 정서 및 생리 반응을 유발하게 되는 과정을 설명하는 데 유용하다.</w:t>
      </w:r>
    </w:p>
    <w:p>
      <w:pPr>
        <w:pStyle w:val="Heading2"/>
        <w:spacing w:before="200" w:after="140"/>
      </w:pPr>
      <w:r>
        <w:t>라. 학교생활에서의 정서적 조건형성</w:t>
      </w:r>
    </w:p>
    <w:p>
      <w:pPr>
        <w:ind w:firstLine="397"/>
        <w:jc w:val="both"/>
      </w:pPr>
      <w:r>
        <w:t>교육 현장에서도 특정 과목이나 교실 분위기가 정서와 연합될 수 있다. 예를 들어 학생이 수학 문제를 풀 때 반복적으로 공개적인 지적이나 실패 경험을 겪었다면 수학 문제 자체가 불안과 긴장을 예고하는 조건자극으로 기능할 수 있다. 이후 비교적 쉬운 문제를 접해도 시험지나 수학 교과서를 보는 순간 긴장하는 조건반응이 나타날 수 있다.</w:t>
      </w:r>
    </w:p>
    <w:p>
      <w:pPr>
        <w:ind w:firstLine="397"/>
        <w:jc w:val="both"/>
      </w:pPr>
      <w:r>
        <w:t>반대로 교사가 학습 활동을 안정적인 피드백, 작은 성공 경험, 격려와 지속적으로 연결한다면 학습 상황에 대한 부정적 정서를 완화하고 긍정적 기대를 형성하는 데 도움을 줄 수 있다. 이는 교사의 언어와 수업 분위기가 단순한 배경이 아니라 학습자의 정서적 연합 형성에 영향을 줄 수 있음을 의미한다.</w:t>
      </w:r>
    </w:p>
    <w:p>
      <w:pPr>
        <w:pStyle w:val="Heading1"/>
        <w:spacing w:before="200" w:after="140"/>
      </w:pPr>
      <w:r>
        <w:t>Ⅲ. 결론</w:t>
      </w:r>
    </w:p>
    <w:p>
      <w:pPr>
        <w:ind w:firstLine="397"/>
        <w:jc w:val="both"/>
      </w:pPr>
      <w:r>
        <w:t>고전적 조건형성은 원래 중성적이었던 자극이 생물학적으로 의미 있는 자극과 연합됨으로써 새로운 반응을 유발하게 되는 학습 원리이다. 이를 구성하는 핵심 요소는 무조건자극, 무조건반응, 조건자극, 조건반응이며, 네 요소를 구분하면 특정 행동이나 정서 반응이 어떠한 경험을 통해 형성되었는지를 보다 체계적으로 분석할 수 있다.</w:t>
      </w:r>
    </w:p>
    <w:p>
      <w:pPr>
        <w:ind w:firstLine="397"/>
        <w:jc w:val="both"/>
      </w:pPr>
      <w:r>
        <w:t>실생활에서는 치과 불안, 광고에 대한 호감, 스마트폰 알림에 대한 기대, 특정 학습 상황에서의 긴장과 같이 다양한 장면에서 조건형성의 흔적을 확인할 수 있다. 특히 인간의 정서 반응은 과거 경험과 현재 환경의 자극이 연결되면서 형성될 수 있으므로, 개인의 행동을 이해할 때 현재 나타나는 반응만이 아니라 그 반응이 어떠한 자극 관계 속에서 학습되었는지 살펴볼 필요가 있다.</w:t>
      </w:r>
    </w:p>
    <w:p>
      <w:pPr>
        <w:ind w:firstLine="397"/>
        <w:jc w:val="both"/>
      </w:pPr>
      <w:r>
        <w:t>고전적 조건형성 이론의 의의는 인간의 자동적이고 정서적인 반응 역시 일정한 학습 원리에 따라 형성되고 변화할 수 있음을 보여준다는 데 있다. 동시에 실제 인간 행동은 인지적 해석, 사회적 경험, 조작적 조건형성 등 여러 요인이 함께 작용하므로 고전적 조건형성을 단독 원인으로 단정하지 않는 균형 있는 이해가 필요하다.</w:t>
      </w:r>
    </w:p>
    <w:p>
      <w:pPr>
        <w:pStyle w:val="Heading1"/>
        <w:spacing w:before="200" w:after="140"/>
      </w:pPr>
      <w:r>
        <w:t>Ⅳ. 참고문헌</w:t>
      </w:r>
    </w:p>
    <w:p>
      <w:pPr>
        <w:spacing w:after="100"/>
        <w:ind w:left="397" w:hanging="397"/>
      </w:pPr>
      <w:r>
        <w:t>김영채. (2007). 학습 심리학. 박영사.</w:t>
      </w:r>
    </w:p>
    <w:p>
      <w:pPr>
        <w:spacing w:after="100"/>
        <w:ind w:left="397" w:hanging="397"/>
      </w:pPr>
      <w:r>
        <w:t>Mazur, J. E. (2017). Learning and Behavior (8th ed.). Routledge.</w:t>
      </w:r>
    </w:p>
    <w:p>
      <w:pPr>
        <w:spacing w:after="100"/>
        <w:ind w:left="397" w:hanging="397"/>
      </w:pPr>
      <w:r>
        <w:t>Pavlov, I. P. (1927). Conditioned Reflexes. Oxford University Press.</w:t>
      </w:r>
    </w:p>
    <w:p>
      <w:pPr>
        <w:spacing w:after="100"/>
        <w:ind w:left="397" w:hanging="397"/>
      </w:pPr>
      <w:r>
        <w:t>Rescorla, R. A. (1988). Pavlovian conditioning: It’s not what you think it is. American Psychologist, 43(3), 151-160.</w:t>
      </w:r>
    </w:p>
    <w:p>
      <w:pPr>
        <w:spacing w:after="100"/>
        <w:ind w:left="397" w:hanging="397"/>
      </w:pPr>
      <w:r>
        <w:t>Schunk, D. H. (2020). Learning Theories: An Educational Perspective (8th ed.). Pearson.</w:t>
      </w:r>
    </w:p>
    <w:p>
      <w:r>
        <w:br w:type="page"/>
      </w:r>
    </w:p>
    <w:p>
      <w:pPr>
        <w:jc w:val="center"/>
      </w:pPr>
      <w:r>
        <w:rPr>
          <w:b/>
          <w:sz w:val="34"/>
        </w:rPr>
        <w:t>주의사항</w:t>
      </w:r>
    </w:p>
    <w:p>
      <w:pPr>
        <w:spacing w:after="80"/>
        <w:jc w:val="center"/>
      </w:pPr>
      <w:r>
        <w:t>본 자료는 학점은행제 과제 참고용 샘플입니다.</w:t>
      </w:r>
    </w:p>
    <w:p>
      <w:pPr>
        <w:spacing w:after="80"/>
        <w:jc w:val="center"/>
      </w:pPr>
      <w:r>
        <w:t>위 학습 자료를 그대로 제출할 경우 모사율(표절률)로 인하여</w:t>
      </w:r>
    </w:p>
    <w:p>
      <w:pPr>
        <w:spacing w:after="80"/>
        <w:jc w:val="center"/>
      </w:pPr>
      <w:r>
        <w:t>성적 불이익 또는 해당 과목 0점 처리될 수 있습니다.</w:t>
      </w:r>
    </w:p>
    <w:p>
      <w:pPr>
        <w:spacing w:after="80"/>
        <w:jc w:val="center"/>
      </w:pPr>
      <w:r>
        <w:t>반드시 본인의 언어로 수정·재작성하여 제출하시기 바랍니다.</w:t>
      </w:r>
    </w:p>
    <w:p/>
    <w:p>
      <w:pPr>
        <w:jc w:val="center"/>
      </w:pPr>
      <w:r>
        <w:rPr>
          <w:b/>
          <w:sz w:val="28"/>
        </w:rPr>
        <w:t>과제 수정이 어려우신가요?</w:t>
      </w:r>
    </w:p>
    <w:p>
      <w:pPr>
        <w:spacing w:after="100"/>
        <w:jc w:val="center"/>
      </w:pPr>
      <w:r>
        <w:t>국민원격교육관리센터에서 1:1 과제 수정 도움을 드립니다.</w:t>
      </w:r>
    </w:p>
    <w:p>
      <w:pPr>
        <w:spacing w:after="100"/>
        <w:jc w:val="center"/>
      </w:pPr>
      <w:r>
        <w:t>아래 연락처로 문의해 주세요.</w:t>
      </w:r>
    </w:p>
    <w:p>
      <w:pPr>
        <w:spacing w:after="100"/>
        <w:jc w:val="center"/>
      </w:pPr>
    </w:p>
    <w:p>
      <w:pPr>
        <w:spacing w:after="100"/>
        <w:jc w:val="center"/>
      </w:pPr>
      <w:r>
        <w:t>전화: 050-7878-7044</w:t>
      </w:r>
    </w:p>
    <w:p>
      <w:pPr>
        <w:spacing w:after="100"/>
        <w:jc w:val="center"/>
      </w:pPr>
      <w:r>
        <w:t>카카오톡: @국민원격교육관리센터</w:t>
      </w:r>
    </w:p>
    <w:p>
      <w:pPr>
        <w:spacing w:after="100"/>
        <w:jc w:val="center"/>
      </w:pPr>
      <w:r>
        <w:t>운영시간: 평일 10:00–19:00</w:t>
      </w:r>
    </w:p>
    <w:p>
      <w:pPr>
        <w:spacing w:after="100"/>
        <w:jc w:val="center"/>
      </w:pPr>
      <w:r>
        <w:t>웹사이트: korealms.co.kr</w:t>
      </w:r>
    </w:p>
    <w:sectPr w:rsidR="00FC693F" w:rsidRPr="0006063C" w:rsidSect="00034616">
      <w:footerReference w:type="default" r:id="rId9"/>
      <w:pgSz w:w="12240" w:h="15840"/>
      <w:pgMar w:top="1247" w:right="1361"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96" w:lineRule="auto" w:after="120"/>
    </w:pPr>
    <w:rPr>
      <w:rFonts w:ascii="Malgun Gothic" w:hAnsi="Malgun Gothic"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맑은 고딕"/>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맑은 고딕"/>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Malgun Gothic" w:hAnsi="Malgun Gothic" w:eastAsia="맑은 고딕"/>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