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algun Gothic" w:hAnsi="Malgun Gothic" w:eastAsia="Malgun Gothic"/>
          <w:b/>
          <w:color w:val="4F6C7D"/>
          <w:sz w:val="28"/>
        </w:rPr>
        <w:t>생 산 관 리</w:t>
      </w:r>
    </w:p>
    <w:p>
      <w:pPr>
        <w:spacing w:before="800" w:line="300" w:lineRule="auto"/>
        <w:jc w:val="center"/>
      </w:pPr>
      <w:r>
        <w:rPr>
          <w:rFonts w:ascii="Malgun Gothic" w:hAnsi="Malgun Gothic" w:eastAsia="Malgun Gothic"/>
          <w:b/>
          <w:color w:val="1F374C"/>
          <w:sz w:val="48"/>
        </w:rPr>
        <w:t>제품수명주기와 서비스수명주기의</w:t>
        <w:br/>
        <w:t>차이점에 관한 조사</w:t>
      </w:r>
    </w:p>
    <w:p>
      <w:pPr>
        <w:spacing w:before="240"/>
        <w:jc w:val="center"/>
      </w:pPr>
      <w:r>
        <w:rPr>
          <w:rFonts w:ascii="Malgun Gothic" w:hAnsi="Malgun Gothic" w:eastAsia="Malgun Gothic"/>
          <w:b w:val="0"/>
          <w:color w:val="5A5A5A"/>
          <w:sz w:val="23"/>
        </w:rPr>
        <w:t>제품과 서비스의 단계별 특성 및 사례 비교를 중심으로</w:t>
      </w:r>
    </w:p>
    <w:p>
      <w:pPr>
        <w:spacing w:before="560"/>
      </w:pPr>
    </w:p>
    <w:tbl>
      <w:tblPr>
        <w:tblW w:type="auto" w:w="0"/>
        <w:jc w:val="center"/>
        <w:tblLayout w:type="fixed"/>
        <w:tblLook w:firstColumn="1" w:firstRow="1" w:lastColumn="0" w:lastRow="0" w:noHBand="0" w:noVBand="1" w:val="04A0"/>
      </w:tblPr>
      <w:tblGrid>
        <w:gridCol w:w="6803"/>
      </w:tblGrid>
      <w:tr>
        <w:tc>
          <w:tcPr>
            <w:tcW w:type="dxa" w:w="9632"/>
            <w:shd w:fill="39596A"/>
          </w:tcPr>
          <w:p/>
        </w:tc>
      </w:tr>
    </w:tbl>
    <w:p>
      <w:pPr>
        <w:spacing w:before="560"/>
        <w:ind w:firstLine="0"/>
        <w:jc w:val="center"/>
      </w:pPr>
      <w:r>
        <w:rPr>
          <w:rFonts w:ascii="Malgun Gothic" w:hAnsi="Malgun Gothic" w:eastAsia="Malgun Gothic"/>
          <w:b/>
          <w:color w:val="323232"/>
          <w:sz w:val="22"/>
        </w:rPr>
        <w:t>과목명  생산관리</w:t>
      </w:r>
    </w:p>
    <w:p>
      <w:pPr>
        <w:spacing w:before="500"/>
        <w:ind w:firstLine="0"/>
        <w:jc w:val="center"/>
      </w:pPr>
      <w:r>
        <w:rPr>
          <w:rFonts w:ascii="Malgun Gothic" w:hAnsi="Malgun Gothic" w:eastAsia="Malgun Gothic"/>
          <w:b/>
          <w:color w:val="1F374C"/>
          <w:sz w:val="26"/>
        </w:rPr>
        <w:t>목 차</w:t>
      </w:r>
    </w:p>
    <w:p>
      <w:pPr>
        <w:spacing w:after="40"/>
        <w:ind w:left="3175" w:firstLine="0"/>
      </w:pPr>
      <w:r>
        <w:rPr>
          <w:rFonts w:ascii="Malgun Gothic" w:hAnsi="Malgun Gothic" w:eastAsia="Malgun Gothic"/>
          <w:b w:val="0"/>
          <w:color w:val="464646"/>
          <w:sz w:val="19"/>
        </w:rPr>
        <w:t>Ⅰ. 서론</w:t>
      </w:r>
    </w:p>
    <w:p>
      <w:pPr>
        <w:spacing w:after="40"/>
        <w:ind w:left="3175" w:firstLine="0"/>
      </w:pPr>
      <w:r>
        <w:rPr>
          <w:rFonts w:ascii="Malgun Gothic" w:hAnsi="Malgun Gothic" w:eastAsia="Malgun Gothic"/>
          <w:b w:val="0"/>
          <w:color w:val="464646"/>
          <w:sz w:val="19"/>
        </w:rPr>
        <w:t>Ⅱ. 본론</w:t>
      </w:r>
    </w:p>
    <w:p>
      <w:pPr>
        <w:spacing w:after="40"/>
        <w:ind w:left="3175" w:firstLine="0"/>
      </w:pPr>
      <w:r>
        <w:rPr>
          <w:rFonts w:ascii="Malgun Gothic" w:hAnsi="Malgun Gothic" w:eastAsia="Malgun Gothic"/>
          <w:b w:val="0"/>
          <w:color w:val="464646"/>
          <w:sz w:val="19"/>
        </w:rPr>
        <w:t xml:space="preserve">  1. 제품수명주기의 개념과 단계</w:t>
      </w:r>
    </w:p>
    <w:p>
      <w:pPr>
        <w:spacing w:after="40"/>
        <w:ind w:left="3175" w:firstLine="0"/>
      </w:pPr>
      <w:r>
        <w:rPr>
          <w:rFonts w:ascii="Malgun Gothic" w:hAnsi="Malgun Gothic" w:eastAsia="Malgun Gothic"/>
          <w:b w:val="0"/>
          <w:color w:val="464646"/>
          <w:sz w:val="19"/>
        </w:rPr>
        <w:t xml:space="preserve">  2. 서비스수명주기의 개념과 단계</w:t>
      </w:r>
    </w:p>
    <w:p>
      <w:pPr>
        <w:spacing w:after="40"/>
        <w:ind w:left="3175" w:firstLine="0"/>
      </w:pPr>
      <w:r>
        <w:rPr>
          <w:rFonts w:ascii="Malgun Gothic" w:hAnsi="Malgun Gothic" w:eastAsia="Malgun Gothic"/>
          <w:b w:val="0"/>
          <w:color w:val="464646"/>
          <w:sz w:val="19"/>
        </w:rPr>
        <w:t xml:space="preserve">  3. 제품과 서비스 사례 비교</w:t>
      </w:r>
    </w:p>
    <w:p>
      <w:pPr>
        <w:spacing w:after="40"/>
        <w:ind w:left="3175" w:firstLine="0"/>
      </w:pPr>
      <w:r>
        <w:rPr>
          <w:rFonts w:ascii="Malgun Gothic" w:hAnsi="Malgun Gothic" w:eastAsia="Malgun Gothic"/>
          <w:b w:val="0"/>
          <w:color w:val="464646"/>
          <w:sz w:val="19"/>
        </w:rPr>
        <w:t xml:space="preserve">  4. 두 수명주기의 주요 차이점</w:t>
      </w:r>
    </w:p>
    <w:p>
      <w:pPr>
        <w:spacing w:after="40"/>
        <w:ind w:left="3175" w:firstLine="0"/>
      </w:pPr>
      <w:r>
        <w:rPr>
          <w:rFonts w:ascii="Malgun Gothic" w:hAnsi="Malgun Gothic" w:eastAsia="Malgun Gothic"/>
          <w:b w:val="0"/>
          <w:color w:val="464646"/>
          <w:sz w:val="19"/>
        </w:rPr>
        <w:t xml:space="preserve">  5. 생산관리 측면의 시사점</w:t>
      </w:r>
    </w:p>
    <w:p>
      <w:pPr>
        <w:spacing w:after="40"/>
        <w:ind w:left="3175" w:firstLine="0"/>
      </w:pPr>
      <w:r>
        <w:rPr>
          <w:rFonts w:ascii="Malgun Gothic" w:hAnsi="Malgun Gothic" w:eastAsia="Malgun Gothic"/>
          <w:b w:val="0"/>
          <w:color w:val="464646"/>
          <w:sz w:val="19"/>
        </w:rPr>
        <w:t>Ⅲ. 결론</w:t>
      </w:r>
    </w:p>
    <w:p>
      <w:pPr>
        <w:spacing w:after="40"/>
        <w:ind w:left="3175" w:firstLine="0"/>
      </w:pPr>
      <w:r>
        <w:rPr>
          <w:rFonts w:ascii="Malgun Gothic" w:hAnsi="Malgun Gothic" w:eastAsia="Malgun Gothic"/>
          <w:b w:val="0"/>
          <w:color w:val="464646"/>
          <w:sz w:val="19"/>
        </w:rPr>
        <w:t>Ⅳ. 참고문헌</w:t>
      </w:r>
    </w:p>
    <w:p>
      <w:r>
        <w:br w:type="page"/>
      </w:r>
    </w:p>
    <w:p>
      <w:pPr>
        <w:pStyle w:val="Heading1"/>
        <w:ind w:firstLine="0"/>
      </w:pPr>
      <w:r>
        <w:t>Ⅰ. 서론</w:t>
      </w:r>
    </w:p>
    <w:p>
      <w:pPr>
        <w:jc w:val="both"/>
      </w:pPr>
      <w:r>
        <w:t>기업이 시장에서 지속적으로 경쟁하기 위해서는 제품이나 서비스가 시간의 흐름에 따라 어떤 변화를 겪는지를 이해할 필요가 있다. 처음 출시된 제품이 영원히 같은 수준의 판매량을 유지하지 않듯이 서비스 역시 도입 이후 고객의 인지도, 이용량, 경쟁 수준, 운영 방식이 변화한다. 이러한 변화를 단계적으로 파악하는 대표적 개념이 수명주기이다. 수명주기 관점은 단순히 매출의 증가와 감소를 설명하는 데 그치지 않고, 생산능력의 조정, 품질관리, 원가관리, 재고정책, 마케팅 전략과 같은 생산관리 의사결정과 직접 연결된다.</w:t>
      </w:r>
    </w:p>
    <w:p>
      <w:pPr>
        <w:jc w:val="both"/>
      </w:pPr>
      <w:r>
        <w:t>다만 제품과 서비스는 본질적 특성이 다르기 때문에 동일한 수명주기 틀을 기계적으로 적용하기 어렵다. 제품은 유형의 재화로서 생산과 소비가 분리되고 재고로 보관할 수 있지만, 서비스는 무형성이 강하고 생산과 소비가 동시에 이루어지는 경우가 많으며 남는 서비스 능력을 저장하기 어렵다. 따라서 제품수명주기에서는 출시 시점, 생산량, 재고, 모델 교체가 중요한 반면 서비스수명주기에서는 수요의 변동, 고객 접점, 종업원 역량, 서비스 프로세스의 개선이 더욱 중요하게 다루어진다. 본 과제에서는 두 수명주기의 개념과 단계를 살펴보고, 스마트폰 모델과 호텔 객실 숙박 서비스를 사례로 비교한 후 생산관리 측면에서 그 차이와 시사점을 정리하고자 한다.</w:t>
      </w:r>
    </w:p>
    <w:p>
      <w:pPr>
        <w:pStyle w:val="Heading1"/>
        <w:ind w:firstLine="0"/>
      </w:pPr>
      <w:r>
        <w:t>Ⅱ. 본론</w:t>
      </w:r>
    </w:p>
    <w:p>
      <w:pPr>
        <w:pStyle w:val="Heading2"/>
        <w:ind w:firstLine="0"/>
      </w:pPr>
      <w:r>
        <w:t>1. 제품수명주기의 개념과 단계</w:t>
      </w:r>
    </w:p>
    <w:p>
      <w:pPr>
        <w:jc w:val="both"/>
      </w:pPr>
      <w:r>
        <w:t>제품수명주기(Product Life Cycle: PLC)는 하나의 제품이 시장에 도입된 이후 성장, 성숙, 쇠퇴를 거치는 과정을 시간의 흐름에 따라 설명하는 개념이다. 일반적으로 도입기, 성장기, 성숙기, 쇠퇴기의 네 단계로 구분한다. 각 단계는 판매량과 이익 수준뿐 아니라 경쟁의 강도, 고객의 구매행동, 생산운영 전략도 서로 다르게 나타난다. 생산관리자는 현재 제품이 어느 단계에 위치하는지에 따라 설비투자, 생산방식, 품질수준, 원가절감 목표와 재고정책을 조정할 필요가 있다.</w:t>
      </w:r>
    </w:p>
    <w:p>
      <w:pPr>
        <w:pStyle w:val="ListBullet"/>
        <w:spacing w:line="348" w:lineRule="auto" w:after="60"/>
        <w:ind w:left="454" w:hanging="170"/>
      </w:pPr>
      <w:r>
        <w:rPr>
          <w:rFonts w:ascii="Malgun Gothic" w:hAnsi="Malgun Gothic" w:eastAsia="Malgun Gothic"/>
          <w:b w:val="0"/>
          <w:sz w:val="20"/>
        </w:rPr>
        <w:t>도입기: 시장 인지도가 낮고 판매량이 제한적이다. 초기 개발비와 광고비가 크며 단위당 원가가 높을 수 있다. 생산 측면에서는 수요예측의 불확실성이 크기 때문에 과도한 설비투자보다 유연한 생산체계를 유지하는 것이 중요하다.</w:t>
      </w:r>
    </w:p>
    <w:p>
      <w:pPr>
        <w:pStyle w:val="ListBullet"/>
        <w:spacing w:line="348" w:lineRule="auto" w:after="60"/>
        <w:ind w:left="454" w:hanging="170"/>
      </w:pPr>
      <w:r>
        <w:rPr>
          <w:rFonts w:ascii="Malgun Gothic" w:hAnsi="Malgun Gothic" w:eastAsia="Malgun Gothic"/>
          <w:b w:val="0"/>
          <w:sz w:val="20"/>
        </w:rPr>
        <w:t>성장기: 시장 수요가 빠르게 증가하고 경쟁기업이 진입한다. 기업은 생산능력을 확대하고 표준화와 품질안정을 통해 증가하는 주문을 안정적으로 처리해야 한다. 규모의 경제가 나타나면서 원가 절감의 가능성도 커진다.</w:t>
      </w:r>
    </w:p>
    <w:p>
      <w:pPr>
        <w:pStyle w:val="ListBullet"/>
        <w:spacing w:line="348" w:lineRule="auto" w:after="60"/>
        <w:ind w:left="454" w:hanging="170"/>
      </w:pPr>
      <w:r>
        <w:rPr>
          <w:rFonts w:ascii="Malgun Gothic" w:hAnsi="Malgun Gothic" w:eastAsia="Malgun Gothic"/>
          <w:b w:val="0"/>
          <w:sz w:val="20"/>
        </w:rPr>
        <w:t>성숙기: 판매량 증가세가 둔화되고 시장이 포화 상태에 가까워진다. 가격과 품질 경쟁이 심해지므로 공정 효율화, 원가절감, 재고최적화, 제품 차별화가 중요해진다.</w:t>
      </w:r>
    </w:p>
    <w:p>
      <w:pPr>
        <w:pStyle w:val="ListBullet"/>
        <w:spacing w:line="348" w:lineRule="auto" w:after="60"/>
        <w:ind w:left="454" w:hanging="170"/>
      </w:pPr>
      <w:r>
        <w:rPr>
          <w:rFonts w:ascii="Malgun Gothic" w:hAnsi="Malgun Gothic" w:eastAsia="Malgun Gothic"/>
          <w:b w:val="0"/>
          <w:sz w:val="20"/>
        </w:rPr>
        <w:t>쇠퇴기: 대체제품의 등장이나 기술 변화로 수요가 줄어든다. 기업은 생산라인 축소, 품목 정리, 잔여재고 관리, 후속제품 전환 여부 등을 결정해야 한다.</w:t>
      </w:r>
    </w:p>
    <w:p>
      <w:pPr>
        <w:pStyle w:val="Heading2"/>
        <w:ind w:firstLine="0"/>
      </w:pPr>
      <w:r>
        <w:t>2. 서비스수명주기의 개념과 단계</w:t>
      </w:r>
    </w:p>
    <w:p>
      <w:pPr>
        <w:jc w:val="both"/>
      </w:pPr>
      <w:r>
        <w:t>서비스수명주기는 특정 서비스가 고객에게 처음 제공된 이후 시장 확산과 안정화, 노후화 또는 대체에 이르는 과정을 의미한다. 서비스 역시 도입, 성장, 성숙, 쇠퇴라는 단계로 설명할 수 있지만, 제품과 달리 서비스는 물리적 실체보다 제공과정과 고객경험의 비중이 높다. 또한 서비스는 저장이 어렵고 고객이 생산과정에 참여하는 경우가 많으므로, 서비스 능력과 고객 수요를 시간대별로 일치시키는 관리가 핵심이다.</w:t>
      </w:r>
    </w:p>
    <w:p>
      <w:pPr>
        <w:jc w:val="both"/>
      </w:pPr>
      <w:r>
        <w:t>도입기에는 새로운 서비스 절차를 설계하고 종업원을 교육하며 고객이 서비스의 가치를 이해하도록 해야 한다. 성장기에는 고객 수가 늘어남에 따라 인력과 시설을 확충하면서 서비스 품질의 편차를 줄이는 표준화가 필요하다. 성숙기에는 경쟁 서비스와의 차별화를 위해 예약 편의성, 응대품질, 멤버십, 디지털 채널 등을 개선할 수 있다. 쇠퇴기에는 기존 서비스의 단순 폐지보다 리뉴얼, 결합상품 개발, 제공채널 변경 등으로 수명주기를 연장하는 경우가 많다. 즉 서비스는 하나의 형태가 사라지더라도 핵심 서비스가 개선·재구성되면서 장기간 유지될 가능성이 크다.</w:t>
      </w:r>
    </w:p>
    <w:p>
      <w:r>
        <w:br w:type="page"/>
      </w:r>
    </w:p>
    <w:p>
      <w:pPr>
        <w:pStyle w:val="Heading2"/>
        <w:ind w:firstLine="0"/>
      </w:pPr>
      <w:r>
        <w:t>3. 특정 제품과 서비스의 사례 비교</w:t>
      </w:r>
    </w:p>
    <w:p>
      <w:pPr>
        <w:pStyle w:val="Heading2"/>
        <w:ind w:firstLine="0"/>
      </w:pPr>
      <w:r>
        <w:t>가. 제품 사례: 삼성 갤럭시 S21과 같은 스마트폰 모델</w:t>
      </w:r>
    </w:p>
    <w:p>
      <w:pPr>
        <w:jc w:val="both"/>
      </w:pPr>
      <w:r>
        <w:t>스마트폰은 제품수명주기의 특징이 비교적 분명하게 나타나는 대표적 제품이다. 예를 들어 특정 연도에 출시된 갤럭시 S 시리즈 한 모델은 출시 직후에는 신기술과 기능을 중심으로 소비자의 관심을 끌고, 초기 구매층을 대상으로 판매가 시작된다. 성장기에는 통신사 유통망과 온라인 판매채널을 통해 판매가 확대되고 생산량도 증가한다. 이 시기에는 부품 조달의 안정성, 조립라인 가동률, 불량률 관리가 중요하다. 판매량이 안정되는 성숙기에는 가격 인하, 프로모션, 저장용량이나 색상 구성 등의 차별화가 이루어지며 재고관리의 중요성이 커진다. 이후 후속 세대가 출시되면 기존 모델의 수요는 감소하고 생산량도 축소된다. 최종적으로는 단종과 함께 잔여재고 처분, 서비스 부품 확보와 같은 쇠퇴기 관리가 이루어진다.</w:t>
      </w:r>
    </w:p>
    <w:p>
      <w:pPr>
        <w:jc w:val="both"/>
      </w:pPr>
      <w:r>
        <w:t>이 사례의 핵심은 특정 모델의 물리적 생산이 종료된다는 점이다. 기업은 제품별 예상 판매량을 바탕으로 부품을 구매하고 완제품 재고를 보유하며, 후속 모델 출시 시점에 맞추어 기존 모델 생산을 감축해야 한다. 수요예측이 빗나가면 과잉재고와 할인판매가 발생할 수 있기 때문에 제품수명주기 판단은 생산량과 재고 수준을 결정하는 중요한 기준이 된다.</w:t>
      </w:r>
    </w:p>
    <w:p>
      <w:pPr>
        <w:pStyle w:val="Heading2"/>
        <w:ind w:firstLine="0"/>
      </w:pPr>
      <w:r>
        <w:t>나. 서비스 사례: 호텔 객실 숙박 서비스</w:t>
      </w:r>
    </w:p>
    <w:p>
      <w:pPr>
        <w:jc w:val="both"/>
      </w:pPr>
      <w:r>
        <w:t>호텔 객실 숙박 서비스는 서비스수명주기의 특성을 보여주는 사례이다. 신규 호텔이 개업한 도입기에는 브랜드 인지도가 낮아 초기 홍보와 고객 경험 형성이 중요하다. 성장기에는 이용 고객이 증가하면서 객실 운영, 프런트 서비스, 청소 인력, 식음료 서비스 등을 체계화해야 하며 예약시스템과 업무표준을 정비할 필요가 있다. 성숙기에는 주변 경쟁 호텔과의 차별화를 위해 객실 리모델링, 멤버십 혜택, 모바일 체크인, 조식 패키지, 지역 관광상품과의 연계 등 부가서비스가 확대될 수 있다. 수요가 감소하는 단계에서는 호텔 자체를 즉시 철수하기보다는 객실 콘셉트 변경, 브랜드 리뉴얼, 장기투숙 상품, 비즈니스·레저 고객별 맞춤 패키지 등으로 서비스를 재설계하는 방식이 활용된다.</w:t>
      </w:r>
    </w:p>
    <w:p>
      <w:pPr>
        <w:jc w:val="both"/>
      </w:pPr>
      <w:r>
        <w:t>호텔 서비스에서 특히 중요한 점은 판매되지 않은 객실을 다음 날 재고로 넘길 수 없다는 사실이다. 오늘 빈 객실은 내일 판매할 수 있는 상품으로 저장되지 않으므로 그날의 매출 기회가 소멸한다. 따라서 수요가 낮은 평일에는 가격을 낮추거나 패키지를 제공하고, 성수기에는 예약 제한과 가격 조정을 통해 수익을 관리한다. 이는 완제품을 창고에 저장할 수 있는 제조업과 뚜렷하게 다른 서비스 운영의 특징이다.</w:t>
      </w:r>
    </w:p>
    <w:p>
      <w:pPr>
        <w:pStyle w:val="Heading2"/>
        <w:pageBreakBefore/>
        <w:ind w:firstLine="0"/>
      </w:pPr>
      <w:r>
        <w:t>4. 제품수명주기와 서비스수명주기의 주요 차이점</w:t>
      </w:r>
    </w:p>
    <w:tbl>
      <w:tblPr>
        <w:tblW w:type="auto" w:w="0"/>
        <w:jc w:val="center"/>
        <w:tblLayout w:type="fixed"/>
        <w:tblLook w:firstColumn="1" w:firstRow="1" w:lastColumn="0" w:lastRow="0" w:noHBand="0" w:noVBand="1" w:val="04A0"/>
      </w:tblPr>
      <w:tblGrid>
        <w:gridCol w:w="2408"/>
        <w:gridCol w:w="2408"/>
        <w:gridCol w:w="2408"/>
        <w:gridCol w:w="2408"/>
      </w:tblGrid>
      <w:tr>
        <w:tc>
          <w:tcPr>
            <w:tcW w:type="dxa" w:w="1928"/>
            <w:shd w:fill="39596A"/>
            <w:vAlign w:val="center"/>
            <w:tcMar>
              <w:top w:w="80" w:type="dxa"/>
              <w:start w:w="100" w:type="dxa"/>
              <w:bottom w:w="80" w:type="dxa"/>
              <w:end w:w="100" w:type="dxa"/>
            </w:tcMar>
          </w:tcPr>
          <w:p>
            <w:pPr>
              <w:ind w:firstLine="0"/>
              <w:jc w:val="center"/>
            </w:pPr>
            <w:r>
              <w:rPr>
                <w:rFonts w:ascii="Malgun Gothic" w:hAnsi="Malgun Gothic" w:eastAsia="Malgun Gothic"/>
                <w:b/>
                <w:color w:val="FFFFFF"/>
                <w:sz w:val="17"/>
              </w:rPr>
              <w:t>비교 기준</w:t>
            </w:r>
          </w:p>
        </w:tc>
        <w:tc>
          <w:tcPr>
            <w:tcW w:type="dxa" w:w="2891"/>
            <w:shd w:fill="39596A"/>
            <w:vAlign w:val="center"/>
            <w:tcMar>
              <w:top w:w="80" w:type="dxa"/>
              <w:start w:w="100" w:type="dxa"/>
              <w:bottom w:w="80" w:type="dxa"/>
              <w:end w:w="100" w:type="dxa"/>
            </w:tcMar>
          </w:tcPr>
          <w:p>
            <w:pPr>
              <w:ind w:firstLine="0"/>
              <w:jc w:val="center"/>
            </w:pPr>
            <w:r>
              <w:rPr>
                <w:rFonts w:ascii="Malgun Gothic" w:hAnsi="Malgun Gothic" w:eastAsia="Malgun Gothic"/>
                <w:b/>
                <w:color w:val="FFFFFF"/>
                <w:sz w:val="17"/>
              </w:rPr>
              <w:t>제품수명주기</w:t>
            </w:r>
          </w:p>
        </w:tc>
        <w:tc>
          <w:tcPr>
            <w:tcW w:type="dxa" w:w="2891"/>
            <w:shd w:fill="39596A"/>
            <w:vAlign w:val="center"/>
            <w:tcMar>
              <w:top w:w="80" w:type="dxa"/>
              <w:start w:w="100" w:type="dxa"/>
              <w:bottom w:w="80" w:type="dxa"/>
              <w:end w:w="100" w:type="dxa"/>
            </w:tcMar>
          </w:tcPr>
          <w:p>
            <w:pPr>
              <w:ind w:firstLine="0"/>
              <w:jc w:val="center"/>
            </w:pPr>
            <w:r>
              <w:rPr>
                <w:rFonts w:ascii="Malgun Gothic" w:hAnsi="Malgun Gothic" w:eastAsia="Malgun Gothic"/>
                <w:b/>
                <w:color w:val="FFFFFF"/>
                <w:sz w:val="17"/>
              </w:rPr>
              <w:t>서비스수명주기</w:t>
            </w:r>
          </w:p>
        </w:tc>
        <w:tc>
          <w:tcPr>
            <w:tcW w:type="dxa" w:w="1361"/>
            <w:shd w:fill="39596A"/>
            <w:vAlign w:val="center"/>
            <w:tcMar>
              <w:top w:w="80" w:type="dxa"/>
              <w:start w:w="100" w:type="dxa"/>
              <w:bottom w:w="80" w:type="dxa"/>
              <w:end w:w="100" w:type="dxa"/>
            </w:tcMar>
          </w:tcPr>
          <w:p>
            <w:pPr>
              <w:ind w:firstLine="0"/>
              <w:jc w:val="center"/>
            </w:pPr>
            <w:r>
              <w:rPr>
                <w:rFonts w:ascii="Malgun Gothic" w:hAnsi="Malgun Gothic" w:eastAsia="Malgun Gothic"/>
                <w:b/>
                <w:color w:val="FFFFFF"/>
                <w:sz w:val="17"/>
              </w:rPr>
              <w:t>관리 초점</w:t>
            </w:r>
          </w:p>
        </w:tc>
      </w:tr>
      <w:tr>
        <w:tc>
          <w:tcPr>
            <w:tcW w:type="dxa" w:w="1928"/>
            <w:tcMar>
              <w:top w:w="80" w:type="dxa"/>
              <w:start w:w="100" w:type="dxa"/>
              <w:bottom w:w="80" w:type="dxa"/>
              <w:end w:w="100" w:type="dxa"/>
            </w:tcMar>
            <w:vAlign w:val="center"/>
          </w:tcPr>
          <w:p>
            <w:pPr>
              <w:spacing w:after="0" w:line="288" w:lineRule="auto"/>
              <w:ind w:firstLine="0"/>
              <w:jc w:val="center"/>
            </w:pPr>
            <w:r>
              <w:rPr>
                <w:rFonts w:ascii="Malgun Gothic" w:hAnsi="Malgun Gothic" w:eastAsia="Malgun Gothic"/>
                <w:b/>
                <w:sz w:val="16"/>
              </w:rPr>
              <w:t>형태</w:t>
            </w:r>
          </w:p>
        </w:tc>
        <w:tc>
          <w:tcPr>
            <w:tcW w:type="dxa" w:w="2891"/>
            <w:tcMar>
              <w:top w:w="80" w:type="dxa"/>
              <w:start w:w="100" w:type="dxa"/>
              <w:bottom w:w="80" w:type="dxa"/>
              <w:end w:w="100" w:type="dxa"/>
            </w:tcMar>
            <w:vAlign w:val="center"/>
          </w:tcPr>
          <w:p>
            <w:pPr>
              <w:spacing w:after="0" w:line="288" w:lineRule="auto"/>
              <w:ind w:firstLine="0"/>
              <w:jc w:val="both"/>
            </w:pPr>
            <w:r>
              <w:rPr>
                <w:rFonts w:ascii="Malgun Gothic" w:hAnsi="Malgun Gothic" w:eastAsia="Malgun Gothic"/>
                <w:b w:val="0"/>
                <w:sz w:val="16"/>
              </w:rPr>
              <w:t>유형의 재화로 기능과 사양이 비교적 명확함</w:t>
            </w:r>
          </w:p>
        </w:tc>
        <w:tc>
          <w:tcPr>
            <w:tcW w:type="dxa" w:w="2891"/>
            <w:tcMar>
              <w:top w:w="80" w:type="dxa"/>
              <w:start w:w="100" w:type="dxa"/>
              <w:bottom w:w="80" w:type="dxa"/>
              <w:end w:w="100" w:type="dxa"/>
            </w:tcMar>
            <w:vAlign w:val="center"/>
          </w:tcPr>
          <w:p>
            <w:pPr>
              <w:spacing w:after="0" w:line="288" w:lineRule="auto"/>
              <w:ind w:firstLine="0"/>
              <w:jc w:val="both"/>
            </w:pPr>
            <w:r>
              <w:rPr>
                <w:rFonts w:ascii="Malgun Gothic" w:hAnsi="Malgun Gothic" w:eastAsia="Malgun Gothic"/>
                <w:b w:val="0"/>
                <w:sz w:val="16"/>
              </w:rPr>
              <w:t>무형성이 강하고 고객 경험과 제공과정이 중요함</w:t>
            </w:r>
          </w:p>
        </w:tc>
        <w:tc>
          <w:tcPr>
            <w:tcW w:type="dxa" w:w="1361"/>
            <w:tcMar>
              <w:top w:w="80" w:type="dxa"/>
              <w:start w:w="100" w:type="dxa"/>
              <w:bottom w:w="80" w:type="dxa"/>
              <w:end w:w="100" w:type="dxa"/>
            </w:tcMar>
            <w:vAlign w:val="center"/>
          </w:tcPr>
          <w:p>
            <w:pPr>
              <w:spacing w:after="0" w:line="288" w:lineRule="auto"/>
              <w:ind w:firstLine="0"/>
              <w:jc w:val="center"/>
            </w:pPr>
            <w:r>
              <w:rPr>
                <w:rFonts w:ascii="Malgun Gothic" w:hAnsi="Malgun Gothic" w:eastAsia="Malgun Gothic"/>
                <w:b w:val="0"/>
                <w:sz w:val="16"/>
              </w:rPr>
              <w:t>설계 대상</w:t>
            </w:r>
          </w:p>
        </w:tc>
      </w:tr>
      <w:tr>
        <w:tc>
          <w:tcPr>
            <w:tcW w:type="dxa" w:w="1928"/>
            <w:tcMar>
              <w:top w:w="80" w:type="dxa"/>
              <w:start w:w="100" w:type="dxa"/>
              <w:bottom w:w="80" w:type="dxa"/>
              <w:end w:w="100" w:type="dxa"/>
            </w:tcMar>
            <w:vAlign w:val="center"/>
            <w:shd w:fill="F2F5F6"/>
          </w:tcPr>
          <w:p>
            <w:pPr>
              <w:spacing w:after="0" w:line="288" w:lineRule="auto"/>
              <w:ind w:firstLine="0"/>
              <w:jc w:val="center"/>
            </w:pPr>
            <w:r>
              <w:rPr>
                <w:rFonts w:ascii="Malgun Gothic" w:hAnsi="Malgun Gothic" w:eastAsia="Malgun Gothic"/>
                <w:b/>
                <w:sz w:val="16"/>
              </w:rPr>
              <w:t>생산·소비</w:t>
            </w:r>
          </w:p>
        </w:tc>
        <w:tc>
          <w:tcPr>
            <w:tcW w:type="dxa" w:w="2891"/>
            <w:tcMar>
              <w:top w:w="80" w:type="dxa"/>
              <w:start w:w="100" w:type="dxa"/>
              <w:bottom w:w="80" w:type="dxa"/>
              <w:end w:w="100" w:type="dxa"/>
            </w:tcMar>
            <w:vAlign w:val="center"/>
            <w:shd w:fill="F2F5F6"/>
          </w:tcPr>
          <w:p>
            <w:pPr>
              <w:spacing w:after="0" w:line="288" w:lineRule="auto"/>
              <w:ind w:firstLine="0"/>
              <w:jc w:val="both"/>
            </w:pPr>
            <w:r>
              <w:rPr>
                <w:rFonts w:ascii="Malgun Gothic" w:hAnsi="Malgun Gothic" w:eastAsia="Malgun Gothic"/>
                <w:b w:val="0"/>
                <w:sz w:val="16"/>
              </w:rPr>
              <w:t>생산 후 저장·유통을 거쳐 소비 가능</w:t>
            </w:r>
          </w:p>
        </w:tc>
        <w:tc>
          <w:tcPr>
            <w:tcW w:type="dxa" w:w="2891"/>
            <w:tcMar>
              <w:top w:w="80" w:type="dxa"/>
              <w:start w:w="100" w:type="dxa"/>
              <w:bottom w:w="80" w:type="dxa"/>
              <w:end w:w="100" w:type="dxa"/>
            </w:tcMar>
            <w:vAlign w:val="center"/>
            <w:shd w:fill="F2F5F6"/>
          </w:tcPr>
          <w:p>
            <w:pPr>
              <w:spacing w:after="0" w:line="288" w:lineRule="auto"/>
              <w:ind w:firstLine="0"/>
              <w:jc w:val="both"/>
            </w:pPr>
            <w:r>
              <w:rPr>
                <w:rFonts w:ascii="Malgun Gothic" w:hAnsi="Malgun Gothic" w:eastAsia="Malgun Gothic"/>
                <w:b w:val="0"/>
                <w:sz w:val="16"/>
              </w:rPr>
              <w:t>생산과 소비가 동시에 이루어지는 경우가 많음</w:t>
            </w:r>
          </w:p>
        </w:tc>
        <w:tc>
          <w:tcPr>
            <w:tcW w:type="dxa" w:w="1361"/>
            <w:tcMar>
              <w:top w:w="80" w:type="dxa"/>
              <w:start w:w="100" w:type="dxa"/>
              <w:bottom w:w="80" w:type="dxa"/>
              <w:end w:w="100" w:type="dxa"/>
            </w:tcMar>
            <w:vAlign w:val="center"/>
            <w:shd w:fill="F2F5F6"/>
          </w:tcPr>
          <w:p>
            <w:pPr>
              <w:spacing w:after="0" w:line="288" w:lineRule="auto"/>
              <w:ind w:firstLine="0"/>
              <w:jc w:val="center"/>
            </w:pPr>
            <w:r>
              <w:rPr>
                <w:rFonts w:ascii="Malgun Gothic" w:hAnsi="Malgun Gothic" w:eastAsia="Malgun Gothic"/>
                <w:b w:val="0"/>
                <w:sz w:val="16"/>
              </w:rPr>
              <w:t>운영 동시성</w:t>
            </w:r>
          </w:p>
        </w:tc>
      </w:tr>
      <w:tr>
        <w:tc>
          <w:tcPr>
            <w:tcW w:type="dxa" w:w="1928"/>
            <w:tcMar>
              <w:top w:w="80" w:type="dxa"/>
              <w:start w:w="100" w:type="dxa"/>
              <w:bottom w:w="80" w:type="dxa"/>
              <w:end w:w="100" w:type="dxa"/>
            </w:tcMar>
            <w:vAlign w:val="center"/>
          </w:tcPr>
          <w:p>
            <w:pPr>
              <w:spacing w:after="0" w:line="288" w:lineRule="auto"/>
              <w:ind w:firstLine="0"/>
              <w:jc w:val="center"/>
            </w:pPr>
            <w:r>
              <w:rPr>
                <w:rFonts w:ascii="Malgun Gothic" w:hAnsi="Malgun Gothic" w:eastAsia="Malgun Gothic"/>
                <w:b/>
                <w:sz w:val="16"/>
              </w:rPr>
              <w:t>재고</w:t>
            </w:r>
          </w:p>
        </w:tc>
        <w:tc>
          <w:tcPr>
            <w:tcW w:type="dxa" w:w="2891"/>
            <w:tcMar>
              <w:top w:w="80" w:type="dxa"/>
              <w:start w:w="100" w:type="dxa"/>
              <w:bottom w:w="80" w:type="dxa"/>
              <w:end w:w="100" w:type="dxa"/>
            </w:tcMar>
            <w:vAlign w:val="center"/>
          </w:tcPr>
          <w:p>
            <w:pPr>
              <w:spacing w:after="0" w:line="288" w:lineRule="auto"/>
              <w:ind w:firstLine="0"/>
              <w:jc w:val="both"/>
            </w:pPr>
            <w:r>
              <w:rPr>
                <w:rFonts w:ascii="Malgun Gothic" w:hAnsi="Malgun Gothic" w:eastAsia="Malgun Gothic"/>
                <w:b w:val="0"/>
                <w:sz w:val="16"/>
              </w:rPr>
              <w:t>완제품 또는 부품 재고 보유 가능</w:t>
            </w:r>
          </w:p>
        </w:tc>
        <w:tc>
          <w:tcPr>
            <w:tcW w:type="dxa" w:w="2891"/>
            <w:tcMar>
              <w:top w:w="80" w:type="dxa"/>
              <w:start w:w="100" w:type="dxa"/>
              <w:bottom w:w="80" w:type="dxa"/>
              <w:end w:w="100" w:type="dxa"/>
            </w:tcMar>
            <w:vAlign w:val="center"/>
          </w:tcPr>
          <w:p>
            <w:pPr>
              <w:spacing w:after="0" w:line="288" w:lineRule="auto"/>
              <w:ind w:firstLine="0"/>
              <w:jc w:val="both"/>
            </w:pPr>
            <w:r>
              <w:rPr>
                <w:rFonts w:ascii="Malgun Gothic" w:hAnsi="Malgun Gothic" w:eastAsia="Malgun Gothic"/>
                <w:b w:val="0"/>
                <w:sz w:val="16"/>
              </w:rPr>
              <w:t>미사용 서비스 능력은 저장하기 어려움</w:t>
            </w:r>
          </w:p>
        </w:tc>
        <w:tc>
          <w:tcPr>
            <w:tcW w:type="dxa" w:w="1361"/>
            <w:tcMar>
              <w:top w:w="80" w:type="dxa"/>
              <w:start w:w="100" w:type="dxa"/>
              <w:bottom w:w="80" w:type="dxa"/>
              <w:end w:w="100" w:type="dxa"/>
            </w:tcMar>
            <w:vAlign w:val="center"/>
          </w:tcPr>
          <w:p>
            <w:pPr>
              <w:spacing w:after="0" w:line="288" w:lineRule="auto"/>
              <w:ind w:firstLine="0"/>
              <w:jc w:val="center"/>
            </w:pPr>
            <w:r>
              <w:rPr>
                <w:rFonts w:ascii="Malgun Gothic" w:hAnsi="Malgun Gothic" w:eastAsia="Malgun Gothic"/>
                <w:b w:val="0"/>
                <w:sz w:val="16"/>
              </w:rPr>
              <w:t>수요-능력 조정</w:t>
            </w:r>
          </w:p>
        </w:tc>
      </w:tr>
      <w:tr>
        <w:tc>
          <w:tcPr>
            <w:tcW w:type="dxa" w:w="1928"/>
            <w:tcMar>
              <w:top w:w="80" w:type="dxa"/>
              <w:start w:w="100" w:type="dxa"/>
              <w:bottom w:w="80" w:type="dxa"/>
              <w:end w:w="100" w:type="dxa"/>
            </w:tcMar>
            <w:vAlign w:val="center"/>
            <w:shd w:fill="F2F5F6"/>
          </w:tcPr>
          <w:p>
            <w:pPr>
              <w:spacing w:after="0" w:line="288" w:lineRule="auto"/>
              <w:ind w:firstLine="0"/>
              <w:jc w:val="center"/>
            </w:pPr>
            <w:r>
              <w:rPr>
                <w:rFonts w:ascii="Malgun Gothic" w:hAnsi="Malgun Gothic" w:eastAsia="Malgun Gothic"/>
                <w:b/>
                <w:sz w:val="16"/>
              </w:rPr>
              <w:t>품질</w:t>
            </w:r>
          </w:p>
        </w:tc>
        <w:tc>
          <w:tcPr>
            <w:tcW w:type="dxa" w:w="2891"/>
            <w:tcMar>
              <w:top w:w="80" w:type="dxa"/>
              <w:start w:w="100" w:type="dxa"/>
              <w:bottom w:w="80" w:type="dxa"/>
              <w:end w:w="100" w:type="dxa"/>
            </w:tcMar>
            <w:vAlign w:val="center"/>
            <w:shd w:fill="F2F5F6"/>
          </w:tcPr>
          <w:p>
            <w:pPr>
              <w:spacing w:after="0" w:line="288" w:lineRule="auto"/>
              <w:ind w:firstLine="0"/>
              <w:jc w:val="both"/>
            </w:pPr>
            <w:r>
              <w:rPr>
                <w:rFonts w:ascii="Malgun Gothic" w:hAnsi="Malgun Gothic" w:eastAsia="Malgun Gothic"/>
                <w:b w:val="0"/>
                <w:sz w:val="16"/>
              </w:rPr>
              <w:t>규격과 검사 기준을 통해 비교적 표준화 가능</w:t>
            </w:r>
          </w:p>
        </w:tc>
        <w:tc>
          <w:tcPr>
            <w:tcW w:type="dxa" w:w="2891"/>
            <w:tcMar>
              <w:top w:w="80" w:type="dxa"/>
              <w:start w:w="100" w:type="dxa"/>
              <w:bottom w:w="80" w:type="dxa"/>
              <w:end w:w="100" w:type="dxa"/>
            </w:tcMar>
            <w:vAlign w:val="center"/>
            <w:shd w:fill="F2F5F6"/>
          </w:tcPr>
          <w:p>
            <w:pPr>
              <w:spacing w:after="0" w:line="288" w:lineRule="auto"/>
              <w:ind w:firstLine="0"/>
              <w:jc w:val="both"/>
            </w:pPr>
            <w:r>
              <w:rPr>
                <w:rFonts w:ascii="Malgun Gothic" w:hAnsi="Malgun Gothic" w:eastAsia="Malgun Gothic"/>
                <w:b w:val="0"/>
                <w:sz w:val="16"/>
              </w:rPr>
              <w:t>종업원·고객·시간에 따라 품질 편차가 발생하기 쉬움</w:t>
            </w:r>
          </w:p>
        </w:tc>
        <w:tc>
          <w:tcPr>
            <w:tcW w:type="dxa" w:w="1361"/>
            <w:tcMar>
              <w:top w:w="80" w:type="dxa"/>
              <w:start w:w="100" w:type="dxa"/>
              <w:bottom w:w="80" w:type="dxa"/>
              <w:end w:w="100" w:type="dxa"/>
            </w:tcMar>
            <w:vAlign w:val="center"/>
            <w:shd w:fill="F2F5F6"/>
          </w:tcPr>
          <w:p>
            <w:pPr>
              <w:spacing w:after="0" w:line="288" w:lineRule="auto"/>
              <w:ind w:firstLine="0"/>
              <w:jc w:val="center"/>
            </w:pPr>
            <w:r>
              <w:rPr>
                <w:rFonts w:ascii="Malgun Gothic" w:hAnsi="Malgun Gothic" w:eastAsia="Malgun Gothic"/>
                <w:b w:val="0"/>
                <w:sz w:val="16"/>
              </w:rPr>
              <w:t>접점 품질</w:t>
            </w:r>
          </w:p>
        </w:tc>
      </w:tr>
      <w:tr>
        <w:tc>
          <w:tcPr>
            <w:tcW w:type="dxa" w:w="1928"/>
            <w:tcMar>
              <w:top w:w="80" w:type="dxa"/>
              <w:start w:w="100" w:type="dxa"/>
              <w:bottom w:w="80" w:type="dxa"/>
              <w:end w:w="100" w:type="dxa"/>
            </w:tcMar>
            <w:vAlign w:val="center"/>
          </w:tcPr>
          <w:p>
            <w:pPr>
              <w:spacing w:after="0" w:line="288" w:lineRule="auto"/>
              <w:ind w:firstLine="0"/>
              <w:jc w:val="center"/>
            </w:pPr>
            <w:r>
              <w:rPr>
                <w:rFonts w:ascii="Malgun Gothic" w:hAnsi="Malgun Gothic" w:eastAsia="Malgun Gothic"/>
                <w:b/>
                <w:sz w:val="16"/>
              </w:rPr>
              <w:t>쇠퇴 대응</w:t>
            </w:r>
          </w:p>
        </w:tc>
        <w:tc>
          <w:tcPr>
            <w:tcW w:type="dxa" w:w="2891"/>
            <w:tcMar>
              <w:top w:w="80" w:type="dxa"/>
              <w:start w:w="100" w:type="dxa"/>
              <w:bottom w:w="80" w:type="dxa"/>
              <w:end w:w="100" w:type="dxa"/>
            </w:tcMar>
            <w:vAlign w:val="center"/>
          </w:tcPr>
          <w:p>
            <w:pPr>
              <w:spacing w:after="0" w:line="288" w:lineRule="auto"/>
              <w:ind w:firstLine="0"/>
              <w:jc w:val="both"/>
            </w:pPr>
            <w:r>
              <w:rPr>
                <w:rFonts w:ascii="Malgun Gothic" w:hAnsi="Malgun Gothic" w:eastAsia="Malgun Gothic"/>
                <w:b w:val="0"/>
                <w:sz w:val="16"/>
              </w:rPr>
              <w:t>단종, 재고정리, 후속모델 전환이 일반적</w:t>
            </w:r>
          </w:p>
        </w:tc>
        <w:tc>
          <w:tcPr>
            <w:tcW w:type="dxa" w:w="2891"/>
            <w:tcMar>
              <w:top w:w="80" w:type="dxa"/>
              <w:start w:w="100" w:type="dxa"/>
              <w:bottom w:w="80" w:type="dxa"/>
              <w:end w:w="100" w:type="dxa"/>
            </w:tcMar>
            <w:vAlign w:val="center"/>
          </w:tcPr>
          <w:p>
            <w:pPr>
              <w:spacing w:after="0" w:line="288" w:lineRule="auto"/>
              <w:ind w:firstLine="0"/>
              <w:jc w:val="both"/>
            </w:pPr>
            <w:r>
              <w:rPr>
                <w:rFonts w:ascii="Malgun Gothic" w:hAnsi="Malgun Gothic" w:eastAsia="Malgun Gothic"/>
                <w:b w:val="0"/>
                <w:sz w:val="16"/>
              </w:rPr>
              <w:t>리뉴얼, 프로세스 개선, 패키지화로 연장 가능</w:t>
            </w:r>
          </w:p>
        </w:tc>
        <w:tc>
          <w:tcPr>
            <w:tcW w:type="dxa" w:w="1361"/>
            <w:tcMar>
              <w:top w:w="80" w:type="dxa"/>
              <w:start w:w="100" w:type="dxa"/>
              <w:bottom w:w="80" w:type="dxa"/>
              <w:end w:w="100" w:type="dxa"/>
            </w:tcMar>
            <w:vAlign w:val="center"/>
          </w:tcPr>
          <w:p>
            <w:pPr>
              <w:spacing w:after="0" w:line="288" w:lineRule="auto"/>
              <w:ind w:firstLine="0"/>
              <w:jc w:val="center"/>
            </w:pPr>
            <w:r>
              <w:rPr>
                <w:rFonts w:ascii="Malgun Gothic" w:hAnsi="Malgun Gothic" w:eastAsia="Malgun Gothic"/>
                <w:b w:val="0"/>
                <w:sz w:val="16"/>
              </w:rPr>
              <w:t>수명 연장</w:t>
            </w:r>
          </w:p>
        </w:tc>
      </w:tr>
    </w:tbl>
    <w:p>
      <w:pPr>
        <w:jc w:val="both"/>
      </w:pPr>
      <w:r>
        <w:t>첫째, 재고 가능성에서 큰 차이가 있다. 제품은 수요에 앞서 생산하여 저장할 수 있으므로 적정 재고 수준이 중요한 관리변수이다. 반면 서비스는 제공 가능한 시간과 인력이 곧 생산능력이기 때문에 남는 능력을 저장할 수 없다. 따라서 예약, 가격차등, 시간대별 인력배치 등 수요조절 방식이 더욱 중요하다.</w:t>
      </w:r>
    </w:p>
    <w:p>
      <w:pPr>
        <w:jc w:val="both"/>
      </w:pPr>
      <w:r>
        <w:t>둘째, 품질관리 방식이 다르다. 제품은 공정 표준화와 사전검사를 통해 규격에 맞는 품질을 일정하게 유지할 수 있지만 서비스 품질은 고객과 접점 직원의 상호작용에 영향을 받는다. 동일한 호텔이라도 체크인 대기시간, 직원의 응대, 객실 준비상태에 따라 고객의 평가가 달라질 수 있으므로 서비스 품질은 기술적 품질뿐 아니라 과정의 품질까지 관리해야 한다.</w:t>
      </w:r>
    </w:p>
    <w:p>
      <w:r>
        <w:br w:type="page"/>
      </w:r>
    </w:p>
    <w:p>
      <w:pPr>
        <w:pStyle w:val="Heading2"/>
        <w:ind w:firstLine="0"/>
      </w:pPr>
      <w:r>
        <w:t>5. 생산관리 측면의 시사점</w:t>
      </w:r>
    </w:p>
    <w:p>
      <w:pPr>
        <w:jc w:val="both"/>
      </w:pPr>
      <w:r>
        <w:t>제품과 서비스의 수명주기 차이는 생산관리 전략의 차이로 이어진다. 제품기업은 성장기에 생산능력을 확대하고 성숙기에 공정효율과 원가경쟁력을 높이며 쇠퇴기에 생산량과 재고를 축소하는 방식으로 대응한다. 특히 짧은 교체주기를 가진 전자제품의 경우 후속모델 출시 이전부터 부품발주와 생산계획을 조정하지 않으면 구형모델의 재고 부담이 커질 수 있다. 따라서 제품수명주기는 수요예측, 자재소요계획, 생산일정, 재고회전율과 밀접한 관련을 갖는다.</w:t>
      </w:r>
    </w:p>
    <w:p>
      <w:pPr>
        <w:jc w:val="both"/>
      </w:pPr>
      <w:r>
        <w:t>서비스기업은 물리적 재고 대신 서비스 능력의 활용률을 관리해야 한다. 호텔은 객실 수 자체를 매일 크게 바꿀 수 없으므로 가격과 예약정책을 이용해 수요를 조절하고, 체크인 집중 시간대에는 인력을 탄력적으로 배치해야 한다. 또한 성숙 단계에서 고객의 기대 수준이 높아지면 시설만 개선하는 것이 아니라 예약부터 퇴실까지 전체 서비스 과정을 재설계할 필요가 있다. 서비스수명주기를 관리한다는 것은 결국 고객 경험과 운영 프로세스를 지속적으로 갱신하는 활동이라고 볼 수 있다.</w:t>
      </w:r>
    </w:p>
    <w:p>
      <w:pPr>
        <w:jc w:val="both"/>
      </w:pPr>
      <w:r>
        <w:t>또한 서비스의 쇠퇴는 제품의 단종처럼 명확하지 않을 수 있다. 예를 들어 호텔 숙박이라는 핵심 서비스는 오랜 기간 유지되지만 객실 형태, 예약채널, 체크인 방식, 패키지 구성은 계속 변화한다. 이 때문에 서비스기업은 수명주기의 단계를 판단할 때 단순 매출뿐 아니라 고객만족도, 재이용률, 객실점유율, 경쟁서비스 등장, 고객 요구의 변화 등을 함께 고려해야 한다. 반대로 제품기업도 최근에는 제품과 서비스를 결합하는 경우가 많아지고 있어 판매 이후의 소프트웨어 업데이트, 구독서비스, 유지보수 등 서비스 요소를 함께 관리할 필요가 있다.</w:t>
      </w:r>
    </w:p>
    <w:p>
      <w:pPr>
        <w:pStyle w:val="Heading1"/>
        <w:ind w:firstLine="0"/>
      </w:pPr>
      <w:r>
        <w:t>Ⅲ. 결론</w:t>
      </w:r>
    </w:p>
    <w:p>
      <w:pPr>
        <w:jc w:val="both"/>
      </w:pPr>
      <w:r>
        <w:t>제품수명주기와 서비스수명주기는 모두 시장에서 제공되는 가치가 시간의 흐름에 따라 도입, 성장, 성숙, 쇠퇴의 과정을 거친다는 공통점을 가진다. 그러나 제품은 유형성, 저장 가능성, 생산과 소비의 분리라는 특성을 가지기 때문에 생산량과 재고, 설비능력, 모델교체가 핵심 관리대상이 된다. 반면 서비스는 무형성, 비저장성, 생산과 소비의 동시성, 고객 참여라는 특성으로 인해 서비스 능력과 수요의 균형, 고객접점 품질, 인력배치, 프로세스 개선이 중요하다.</w:t>
      </w:r>
    </w:p>
    <w:p>
      <w:pPr>
        <w:jc w:val="both"/>
      </w:pPr>
      <w:r>
        <w:t>스마트폰 모델과 호텔 객실 숙박 서비스를 비교하면 이러한 차이는 더욱 분명하다. 스마트폰은 후속 모델이 등장하면 기존 모델이 단종되고 잔여재고가 관리대상이 되지만, 호텔 서비스는 핵심 서비스가 지속되는 상태에서 객실 리뉴얼이나 가격정책, 예약방식, 부가서비스를 변경해 수명주기를 연장할 수 있다. 따라서 생산관리자는 제품과 서비스에 동일한 관리방식을 적용하기보다 대상의 특성과 수명주기 단계에 맞는 운영전략을 선택해야 한다. 특히 서비스산업이 확대되고 제조업에서도 서비스 결합이 증가하는 상황에서는 두 수명주기의 차이를 이해하면서 동시에 통합적으로 관리하는 관점이 필요하다.</w:t>
      </w:r>
    </w:p>
    <w:p>
      <w:pPr>
        <w:pStyle w:val="Heading1"/>
        <w:ind w:firstLine="0"/>
      </w:pPr>
      <w:r>
        <w:t>Ⅳ. 참고문헌</w:t>
      </w:r>
    </w:p>
    <w:p>
      <w:pPr>
        <w:spacing w:line="312" w:lineRule="auto" w:after="80"/>
        <w:ind w:firstLine="0" w:left="283"/>
      </w:pPr>
      <w:r>
        <w:rPr>
          <w:rFonts w:ascii="Malgun Gothic" w:hAnsi="Malgun Gothic" w:eastAsia="Malgun Gothic"/>
          <w:b w:val="0"/>
          <w:sz w:val="18"/>
        </w:rPr>
        <w:t>Heizer, J., Render, B., &amp; Munson, C. (2020). Operations Management: Sustainability and Supply Chain Management (13th ed.). Pearson.</w:t>
      </w:r>
    </w:p>
    <w:p>
      <w:pPr>
        <w:spacing w:line="312" w:lineRule="auto" w:after="80"/>
        <w:ind w:firstLine="0" w:left="283"/>
      </w:pPr>
      <w:r>
        <w:rPr>
          <w:rFonts w:ascii="Malgun Gothic" w:hAnsi="Malgun Gothic" w:eastAsia="Malgun Gothic"/>
          <w:b w:val="0"/>
          <w:sz w:val="18"/>
        </w:rPr>
        <w:t>Kotler, P., &amp; Keller, K. L. (2016). Marketing Management (15th ed.). Pearson.</w:t>
      </w:r>
    </w:p>
    <w:p>
      <w:pPr>
        <w:spacing w:line="312" w:lineRule="auto" w:after="80"/>
        <w:ind w:firstLine="0" w:left="283"/>
      </w:pPr>
      <w:r>
        <w:rPr>
          <w:rFonts w:ascii="Malgun Gothic" w:hAnsi="Malgun Gothic" w:eastAsia="Malgun Gothic"/>
          <w:b w:val="0"/>
          <w:sz w:val="18"/>
        </w:rPr>
        <w:t>Stevenson, W. J. (2021). Operations Management (14th ed.). McGraw-Hill Education.</w:t>
      </w:r>
    </w:p>
    <w:p>
      <w:pPr>
        <w:spacing w:line="312" w:lineRule="auto" w:after="80"/>
        <w:ind w:firstLine="0" w:left="283"/>
      </w:pPr>
      <w:r>
        <w:rPr>
          <w:rFonts w:ascii="Malgun Gothic" w:hAnsi="Malgun Gothic" w:eastAsia="Malgun Gothic"/>
          <w:b w:val="0"/>
          <w:sz w:val="18"/>
        </w:rPr>
        <w:t>Fitzsimmons, J. A., Fitzsimmons, M. J., &amp; Bordoloi, S. (2014). Service Management: Operations, Strategy, Information Technology (8th ed.). McGraw-Hill Education.</w:t>
      </w:r>
    </w:p>
    <w:p>
      <w:pPr>
        <w:spacing w:line="312" w:lineRule="auto" w:after="80"/>
        <w:ind w:firstLine="0" w:left="283"/>
      </w:pPr>
      <w:r>
        <w:rPr>
          <w:rFonts w:ascii="Malgun Gothic" w:hAnsi="Malgun Gothic" w:eastAsia="Malgun Gothic"/>
          <w:b w:val="0"/>
          <w:sz w:val="18"/>
        </w:rPr>
        <w:t>김연성·서창적·이동규 외. (2020). 생산운영관리. 한경사.</w:t>
      </w:r>
    </w:p>
    <w:p>
      <w:r>
        <w:br w:type="page"/>
      </w:r>
    </w:p>
    <w:p>
      <w:pPr>
        <w:spacing w:before="600"/>
        <w:ind w:firstLine="0"/>
        <w:jc w:val="center"/>
      </w:pPr>
      <w:r>
        <w:rPr>
          <w:rFonts w:ascii="Malgun Gothic" w:hAnsi="Malgun Gothic" w:eastAsia="Malgun Gothic"/>
          <w:b/>
          <w:color w:val="874037"/>
          <w:sz w:val="36"/>
        </w:rPr>
        <w:t>주의사항</w:t>
      </w:r>
    </w:p>
    <w:tbl>
      <w:tblPr>
        <w:tblW w:type="auto" w:w="0"/>
        <w:jc w:val="center"/>
        <w:tblLayout w:type="fixed"/>
        <w:tblLook w:firstColumn="1" w:firstRow="1" w:lastColumn="0" w:lastRow="0" w:noHBand="0" w:noVBand="1" w:val="04A0"/>
      </w:tblPr>
      <w:tblGrid>
        <w:gridCol w:w="8504"/>
      </w:tblGrid>
      <w:tr>
        <w:tc>
          <w:tcPr>
            <w:tcW w:type="dxa" w:w="9632"/>
            <w:shd w:fill="FAF3F1"/>
            <w:tcMar>
              <w:top w:w="260" w:type="dxa"/>
              <w:start w:w="260" w:type="dxa"/>
              <w:bottom w:w="260" w:type="dxa"/>
              <w:end w:w="260" w:type="dxa"/>
            </w:tcMar>
          </w:tcPr>
          <w:p>
            <w:pPr>
              <w:spacing w:line="372" w:lineRule="auto"/>
              <w:ind w:firstLine="0"/>
              <w:jc w:val="center"/>
            </w:pPr>
            <w:r>
              <w:rPr>
                <w:rFonts w:ascii="Malgun Gothic" w:hAnsi="Malgun Gothic" w:eastAsia="Malgun Gothic"/>
                <w:b/>
                <w:color w:val="4B3C3C"/>
                <w:sz w:val="22"/>
              </w:rPr>
              <w:t>본 자료는 학점은행제 과제 참고용 샘플입니다.</w:t>
              <w:br/>
            </w:r>
            <w:r>
              <w:rPr>
                <w:rFonts w:ascii="Malgun Gothic" w:hAnsi="Malgun Gothic" w:eastAsia="Malgun Gothic"/>
                <w:b w:val="0"/>
                <w:color w:val="4B3C3C"/>
                <w:sz w:val="22"/>
              </w:rPr>
              <w:t>위 학습 자료를 그대로 제출할 경우 모사율(표절률)로 인하여</w:t>
              <w:br/>
            </w:r>
            <w:r>
              <w:rPr>
                <w:rFonts w:ascii="Malgun Gothic" w:hAnsi="Malgun Gothic" w:eastAsia="Malgun Gothic"/>
                <w:b w:val="0"/>
                <w:color w:val="4B3C3C"/>
                <w:sz w:val="22"/>
              </w:rPr>
              <w:t>성적 불이익 또는 해당 과목 0점 처리될 수 있습니다.</w:t>
              <w:br/>
            </w:r>
            <w:r>
              <w:rPr>
                <w:rFonts w:ascii="Malgun Gothic" w:hAnsi="Malgun Gothic" w:eastAsia="Malgun Gothic"/>
                <w:b w:val="0"/>
                <w:color w:val="4B3C3C"/>
                <w:sz w:val="22"/>
              </w:rPr>
              <w:t>반드시 본인의 언어로 수정·재작성하여 제출하시기 바랍니다.</w:t>
            </w:r>
          </w:p>
        </w:tc>
      </w:tr>
    </w:tbl>
    <w:p>
      <w:pPr>
        <w:spacing w:before="680"/>
        <w:ind w:firstLine="0"/>
        <w:jc w:val="center"/>
      </w:pPr>
      <w:r>
        <w:rPr>
          <w:rFonts w:ascii="Malgun Gothic" w:hAnsi="Malgun Gothic" w:eastAsia="Malgun Gothic"/>
          <w:b/>
          <w:color w:val="1F374C"/>
          <w:sz w:val="30"/>
        </w:rPr>
        <w:t>과제 수정이 어려우신가요?</w:t>
      </w:r>
    </w:p>
    <w:p>
      <w:pPr>
        <w:spacing w:line="360" w:lineRule="auto"/>
        <w:ind w:firstLine="0"/>
        <w:jc w:val="center"/>
      </w:pPr>
      <w:r>
        <w:rPr>
          <w:rFonts w:ascii="Malgun Gothic" w:hAnsi="Malgun Gothic" w:eastAsia="Malgun Gothic"/>
          <w:b w:val="0"/>
          <w:color w:val="3C3C3C"/>
          <w:sz w:val="21"/>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4816"/>
        <w:gridCol w:w="4816"/>
      </w:tblGrid>
      <w:tr>
        <w:tc>
          <w:tcPr>
            <w:tcW w:type="dxa" w:w="1984"/>
            <w:tcMar>
              <w:top w:w="120" w:type="dxa"/>
              <w:start w:w="160" w:type="dxa"/>
              <w:bottom w:w="120" w:type="dxa"/>
              <w:end w:w="160" w:type="dxa"/>
            </w:tcMar>
            <w:vAlign w:val="center"/>
            <w:shd w:fill="E8EEF1"/>
          </w:tcPr>
          <w:p>
            <w:pPr>
              <w:ind w:firstLine="0"/>
              <w:jc w:val="center"/>
            </w:pPr>
            <w:r>
              <w:rPr>
                <w:rFonts w:ascii="Malgun Gothic" w:hAnsi="Malgun Gothic" w:eastAsia="Malgun Gothic"/>
                <w:b/>
                <w:color w:val="1F374C"/>
                <w:sz w:val="20"/>
              </w:rPr>
              <w:t>전화</w:t>
            </w:r>
          </w:p>
        </w:tc>
        <w:tc>
          <w:tcPr>
            <w:tcW w:type="dxa" w:w="5102"/>
            <w:tcMar>
              <w:top w:w="120" w:type="dxa"/>
              <w:start w:w="160" w:type="dxa"/>
              <w:bottom w:w="120" w:type="dxa"/>
              <w:end w:w="160" w:type="dxa"/>
            </w:tcMar>
            <w:vAlign w:val="center"/>
          </w:tcPr>
          <w:p>
            <w:pPr>
              <w:ind w:firstLine="0"/>
            </w:pPr>
            <w:r>
              <w:rPr>
                <w:rFonts w:ascii="Malgun Gothic" w:hAnsi="Malgun Gothic" w:eastAsia="Malgun Gothic"/>
                <w:b w:val="0"/>
                <w:color w:val="2D2D2D"/>
                <w:sz w:val="20"/>
              </w:rPr>
              <w:t>050-7878-7044</w:t>
            </w:r>
          </w:p>
        </w:tc>
      </w:tr>
      <w:tr>
        <w:tc>
          <w:tcPr>
            <w:tcW w:type="dxa" w:w="1984"/>
            <w:tcMar>
              <w:top w:w="120" w:type="dxa"/>
              <w:start w:w="160" w:type="dxa"/>
              <w:bottom w:w="120" w:type="dxa"/>
              <w:end w:w="160" w:type="dxa"/>
            </w:tcMar>
            <w:vAlign w:val="center"/>
            <w:shd w:fill="E8EEF1"/>
          </w:tcPr>
          <w:p>
            <w:pPr>
              <w:ind w:firstLine="0"/>
              <w:jc w:val="center"/>
            </w:pPr>
            <w:r>
              <w:rPr>
                <w:rFonts w:ascii="Malgun Gothic" w:hAnsi="Malgun Gothic" w:eastAsia="Malgun Gothic"/>
                <w:b/>
                <w:color w:val="1F374C"/>
                <w:sz w:val="20"/>
              </w:rPr>
              <w:t>카카오톡</w:t>
            </w:r>
          </w:p>
        </w:tc>
        <w:tc>
          <w:tcPr>
            <w:tcW w:type="dxa" w:w="5102"/>
            <w:tcMar>
              <w:top w:w="120" w:type="dxa"/>
              <w:start w:w="160" w:type="dxa"/>
              <w:bottom w:w="120" w:type="dxa"/>
              <w:end w:w="160" w:type="dxa"/>
            </w:tcMar>
            <w:vAlign w:val="center"/>
          </w:tcPr>
          <w:p>
            <w:pPr>
              <w:ind w:firstLine="0"/>
            </w:pPr>
            <w:r>
              <w:rPr>
                <w:rFonts w:ascii="Malgun Gothic" w:hAnsi="Malgun Gothic" w:eastAsia="Malgun Gothic"/>
                <w:b w:val="0"/>
                <w:color w:val="2D2D2D"/>
                <w:sz w:val="20"/>
              </w:rPr>
              <w:t>@국민원격교육관리센터</w:t>
            </w:r>
          </w:p>
        </w:tc>
      </w:tr>
      <w:tr>
        <w:tc>
          <w:tcPr>
            <w:tcW w:type="dxa" w:w="1984"/>
            <w:tcMar>
              <w:top w:w="120" w:type="dxa"/>
              <w:start w:w="160" w:type="dxa"/>
              <w:bottom w:w="120" w:type="dxa"/>
              <w:end w:w="160" w:type="dxa"/>
            </w:tcMar>
            <w:vAlign w:val="center"/>
            <w:shd w:fill="E8EEF1"/>
          </w:tcPr>
          <w:p>
            <w:pPr>
              <w:ind w:firstLine="0"/>
              <w:jc w:val="center"/>
            </w:pPr>
            <w:r>
              <w:rPr>
                <w:rFonts w:ascii="Malgun Gothic" w:hAnsi="Malgun Gothic" w:eastAsia="Malgun Gothic"/>
                <w:b/>
                <w:color w:val="1F374C"/>
                <w:sz w:val="20"/>
              </w:rPr>
              <w:t>운영시간</w:t>
            </w:r>
          </w:p>
        </w:tc>
        <w:tc>
          <w:tcPr>
            <w:tcW w:type="dxa" w:w="5102"/>
            <w:tcMar>
              <w:top w:w="120" w:type="dxa"/>
              <w:start w:w="160" w:type="dxa"/>
              <w:bottom w:w="120" w:type="dxa"/>
              <w:end w:w="160" w:type="dxa"/>
            </w:tcMar>
            <w:vAlign w:val="center"/>
          </w:tcPr>
          <w:p>
            <w:pPr>
              <w:ind w:firstLine="0"/>
            </w:pPr>
            <w:r>
              <w:rPr>
                <w:rFonts w:ascii="Malgun Gothic" w:hAnsi="Malgun Gothic" w:eastAsia="Malgun Gothic"/>
                <w:b w:val="0"/>
                <w:color w:val="2D2D2D"/>
                <w:sz w:val="20"/>
              </w:rPr>
              <w:t>평일 10:00–19:00</w:t>
            </w:r>
          </w:p>
        </w:tc>
      </w:tr>
      <w:tr>
        <w:tc>
          <w:tcPr>
            <w:tcW w:type="dxa" w:w="1984"/>
            <w:tcMar>
              <w:top w:w="120" w:type="dxa"/>
              <w:start w:w="160" w:type="dxa"/>
              <w:bottom w:w="120" w:type="dxa"/>
              <w:end w:w="160" w:type="dxa"/>
            </w:tcMar>
            <w:vAlign w:val="center"/>
            <w:shd w:fill="E8EEF1"/>
          </w:tcPr>
          <w:p>
            <w:pPr>
              <w:ind w:firstLine="0"/>
              <w:jc w:val="center"/>
            </w:pPr>
            <w:r>
              <w:rPr>
                <w:rFonts w:ascii="Malgun Gothic" w:hAnsi="Malgun Gothic" w:eastAsia="Malgun Gothic"/>
                <w:b/>
                <w:color w:val="1F374C"/>
                <w:sz w:val="20"/>
              </w:rPr>
              <w:t>웹사이트</w:t>
            </w:r>
          </w:p>
        </w:tc>
        <w:tc>
          <w:tcPr>
            <w:tcW w:type="dxa" w:w="5102"/>
            <w:tcMar>
              <w:top w:w="120" w:type="dxa"/>
              <w:start w:w="160" w:type="dxa"/>
              <w:bottom w:w="120" w:type="dxa"/>
              <w:end w:w="160" w:type="dxa"/>
            </w:tcMar>
            <w:vAlign w:val="center"/>
          </w:tcPr>
          <w:p>
            <w:pPr>
              <w:ind w:firstLine="0"/>
            </w:pPr>
            <w:r>
              <w:rPr>
                <w:rFonts w:ascii="Malgun Gothic" w:hAnsi="Malgun Gothic" w:eastAsia="Malgun Gothic"/>
                <w:b w:val="0"/>
                <w:color w:val="2D2D2D"/>
                <w:sz w:val="20"/>
              </w:rPr>
              <w:t>korealms.co.kr</w:t>
            </w:r>
          </w:p>
        </w:tc>
      </w:tr>
    </w:tbl>
    <w:sectPr w:rsidR="00FC693F" w:rsidRPr="0006063C" w:rsidSect="00034616">
      <w:headerReference w:type="default" r:id="rId9"/>
      <w:footerReference w:type="default" r:id="rId10"/>
      <w:headerReference w:type="first" r:id="rId11"/>
      <w:footerReference w:type="first" r:id="rId12"/>
      <w:pgSz w:w="12240" w:h="15840"/>
      <w:pgMar w:top="1134" w:right="1304" w:bottom="1020" w:left="130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b w:val="0"/>
        <w:color w:val="6E6E6E"/>
        <w:sz w:val="18"/>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Malgun Gothic" w:hAnsi="Malgun Gothic" w:eastAsia="Malgun Gothic"/>
        <w:b w:val="0"/>
        <w:color w:val="787878"/>
        <w:sz w:val="17"/>
      </w:rPr>
      <w:t>생산관리 | 제품수명주기와 서비스수명주기 비교</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00"/>
      <w:ind w:firstLine="397"/>
    </w:pPr>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Malgun Gothic" w:hAnsi="Malgun Gothic" w:eastAsia="Malgun Gothic"/>
      <w:b/>
      <w:bCs/>
      <w:color w:val="1F374C"/>
      <w:sz w:val="30"/>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Malgun Gothic" w:hAnsi="Malgun Gothic" w:eastAsia="Malgun Gothic"/>
      <w:b/>
      <w:bCs/>
      <w:color w:val="405E72"/>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before="0"/>
      <w:contextualSpacing/>
    </w:pPr>
    <w:rPr>
      <w:rFonts w:asciiTheme="majorHAnsi" w:eastAsiaTheme="majorEastAsia" w:hAnsiTheme="majorHAnsi" w:cstheme="majorBidi" w:ascii="Malgun Gothic" w:hAnsi="Malgun Gothic" w:eastAsia="Malgun Gothic"/>
      <w:b/>
      <w:color w:val="1F374C"/>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제품수명주기와 서비스수명주기의 차이점에 관한 조사</dc:title>
  <dc:subject>생산관리 과제 참고용 샘플</dc:subject>
  <dc:creator/>
  <cp:keywords>생산관리, 제품수명주기, 서비스수명주기</cp:keywords>
  <dc:description>generated by python-docx</dc:description>
  <cp:lastModifiedBy/>
  <cp:revision>1</cp:revision>
  <dcterms:created xsi:type="dcterms:W3CDTF">2013-12-23T23:15:00Z</dcterms:created>
  <dcterms:modified xsi:type="dcterms:W3CDTF">2013-12-23T23:15:00Z</dcterms:modified>
  <cp:category/>
</cp:coreProperties>
</file>