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line="288" w:lineRule="auto" w:after="280" w:before="0"/>
        <w:ind w:firstLine="0"/>
        <w:jc w:val="center"/>
      </w:pPr>
      <w:r>
        <w:rPr>
          <w:rFonts w:ascii="Noto Sans CJK KR" w:hAnsi="Noto Sans CJK KR" w:eastAsia="Noto Sans CJK KR" w:cs="Noto Sans CJK KR"/>
          <w:b/>
          <w:sz w:val="28"/>
        </w:rPr>
        <w:t>인간행동과 사회환경</w:t>
      </w:r>
    </w:p>
    <w:p>
      <w:pPr>
        <w:spacing w:line="300" w:lineRule="auto" w:after="440" w:before="0"/>
        <w:ind w:firstLine="0"/>
        <w:jc w:val="center"/>
      </w:pPr>
      <w:r>
        <w:rPr>
          <w:rFonts w:ascii="Noto Sans CJK KR" w:hAnsi="Noto Sans CJK KR" w:eastAsia="Noto Sans CJK KR" w:cs="Noto Sans CJK KR"/>
          <w:b/>
          <w:sz w:val="42"/>
        </w:rPr>
        <w:t>조작적 조건형성의 특징과 인간관,</w:t>
        <w:br/>
        <w:t>그리고 응용방법</w:t>
      </w:r>
    </w:p>
    <w:p>
      <w:pPr>
        <w:spacing w:line="240" w:lineRule="auto" w:after="360" w:before="0"/>
        <w:ind w:firstLine="0"/>
        <w:jc w:val="center"/>
      </w:pPr>
      <w:r>
        <w:rPr>
          <w:rFonts w:ascii="Noto Sans CJK KR" w:hAnsi="Noto Sans CJK KR" w:eastAsia="Noto Sans CJK KR" w:cs="Noto Sans CJK KR"/>
          <w:b w:val="0"/>
          <w:color w:val="5A5A5A"/>
          <w:sz w:val="18"/>
        </w:rPr>
        <w:t>━━━━━━━━━━━━━━━━━━━━━━━━━━━━</w:t>
      </w:r>
    </w:p>
    <w:p>
      <w:pPr>
        <w:spacing w:line="288" w:lineRule="auto" w:after="120" w:before="0"/>
        <w:ind w:firstLine="0"/>
        <w:jc w:val="center"/>
      </w:pPr>
      <w:r>
        <w:rPr>
          <w:rFonts w:ascii="Noto Sans CJK KR" w:hAnsi="Noto Sans CJK KR" w:eastAsia="Noto Sans CJK KR" w:cs="Noto Sans CJK KR"/>
          <w:b w:val="0"/>
          <w:sz w:val="21"/>
        </w:rPr>
        <w:t>제출일: ____________________</w:t>
      </w:r>
    </w:p>
    <w:p>
      <w:pPr>
        <w:spacing w:line="288" w:lineRule="auto" w:after="120" w:before="0"/>
        <w:ind w:firstLine="0"/>
        <w:jc w:val="center"/>
      </w:pPr>
      <w:r>
        <w:rPr>
          <w:rFonts w:ascii="Noto Sans CJK KR" w:hAnsi="Noto Sans CJK KR" w:eastAsia="Noto Sans CJK KR" w:cs="Noto Sans CJK KR"/>
          <w:b w:val="0"/>
          <w:sz w:val="21"/>
        </w:rPr>
        <w:t>제출자: ____________________</w:t>
      </w:r>
    </w:p>
    <w:p>
      <w:pPr>
        <w:spacing w:line="288" w:lineRule="auto" w:after="120" w:before="200"/>
        <w:ind w:firstLine="0" w:left="1701"/>
      </w:pPr>
      <w:r>
        <w:rPr>
          <w:rFonts w:ascii="Noto Sans CJK KR" w:hAnsi="Noto Sans CJK KR" w:eastAsia="Noto Sans CJK KR" w:cs="Noto Sans CJK KR"/>
          <w:b/>
          <w:sz w:val="26"/>
        </w:rPr>
        <w:t>목차</w:t>
      </w:r>
    </w:p>
    <w:p>
      <w:pPr>
        <w:spacing w:line="288" w:lineRule="auto" w:after="60" w:before="0"/>
        <w:ind w:firstLine="0" w:left="1701"/>
      </w:pPr>
      <w:r>
        <w:rPr>
          <w:rFonts w:ascii="Noto Sans CJK KR" w:hAnsi="Noto Sans CJK KR" w:eastAsia="Noto Sans CJK KR" w:cs="Noto Sans CJK KR"/>
          <w:b w:val="0"/>
          <w:sz w:val="20"/>
        </w:rPr>
        <w:t>1. 서론</w:t>
      </w:r>
    </w:p>
    <w:p>
      <w:pPr>
        <w:spacing w:line="288" w:lineRule="auto" w:after="60" w:before="0"/>
        <w:ind w:firstLine="0" w:left="1701"/>
      </w:pPr>
      <w:r>
        <w:rPr>
          <w:rFonts w:ascii="Noto Sans CJK KR" w:hAnsi="Noto Sans CJK KR" w:eastAsia="Noto Sans CJK KR" w:cs="Noto Sans CJK KR"/>
          <w:b w:val="0"/>
          <w:sz w:val="20"/>
        </w:rPr>
        <w:t>2. 본론</w:t>
      </w:r>
    </w:p>
    <w:p>
      <w:pPr>
        <w:spacing w:line="288" w:lineRule="auto" w:after="60" w:before="0"/>
        <w:ind w:firstLine="0" w:left="1701"/>
      </w:pPr>
      <w:r>
        <w:rPr>
          <w:rFonts w:ascii="Noto Sans CJK KR" w:hAnsi="Noto Sans CJK KR" w:eastAsia="Noto Sans CJK KR" w:cs="Noto Sans CJK KR"/>
          <w:b w:val="0"/>
          <w:sz w:val="20"/>
        </w:rPr>
        <w:t xml:space="preserve">  2.1 조작적 조건형성의 개념과 특징</w:t>
      </w:r>
    </w:p>
    <w:p>
      <w:pPr>
        <w:spacing w:line="288" w:lineRule="auto" w:after="60" w:before="0"/>
        <w:ind w:firstLine="0" w:left="1701"/>
      </w:pPr>
      <w:r>
        <w:rPr>
          <w:rFonts w:ascii="Noto Sans CJK KR" w:hAnsi="Noto Sans CJK KR" w:eastAsia="Noto Sans CJK KR" w:cs="Noto Sans CJK KR"/>
          <w:b w:val="0"/>
          <w:sz w:val="20"/>
        </w:rPr>
        <w:t xml:space="preserve">  2.2 조작적 조건형성에서의 인간관</w:t>
      </w:r>
    </w:p>
    <w:p>
      <w:pPr>
        <w:spacing w:line="288" w:lineRule="auto" w:after="60" w:before="0"/>
        <w:ind w:firstLine="0" w:left="1701"/>
      </w:pPr>
      <w:r>
        <w:rPr>
          <w:rFonts w:ascii="Noto Sans CJK KR" w:hAnsi="Noto Sans CJK KR" w:eastAsia="Noto Sans CJK KR" w:cs="Noto Sans CJK KR"/>
          <w:b w:val="0"/>
          <w:sz w:val="20"/>
        </w:rPr>
        <w:t xml:space="preserve">  2.3 조작적 조건형성의 응용방법</w:t>
      </w:r>
    </w:p>
    <w:p>
      <w:pPr>
        <w:spacing w:line="288" w:lineRule="auto" w:after="60" w:before="0"/>
        <w:ind w:firstLine="0" w:left="1701"/>
      </w:pPr>
      <w:r>
        <w:rPr>
          <w:rFonts w:ascii="Noto Sans CJK KR" w:hAnsi="Noto Sans CJK KR" w:eastAsia="Noto Sans CJK KR" w:cs="Noto Sans CJK KR"/>
          <w:b w:val="0"/>
          <w:sz w:val="20"/>
        </w:rPr>
        <w:t>3. 결론</w:t>
      </w:r>
    </w:p>
    <w:p>
      <w:pPr>
        <w:spacing w:line="288" w:lineRule="auto" w:after="60" w:before="0"/>
        <w:ind w:firstLine="0" w:left="1701"/>
      </w:pPr>
      <w:r>
        <w:rPr>
          <w:rFonts w:ascii="Noto Sans CJK KR" w:hAnsi="Noto Sans CJK KR" w:eastAsia="Noto Sans CJK KR" w:cs="Noto Sans CJK KR"/>
          <w:b w:val="0"/>
          <w:sz w:val="20"/>
        </w:rPr>
        <w:t>4. 참고문헌</w:t>
      </w:r>
    </w:p>
    <w:p>
      <w:r>
        <w:br w:type="page"/>
      </w:r>
    </w:p>
    <w:p>
      <w:pPr>
        <w:spacing w:line="300" w:lineRule="auto" w:after="80" w:before="60"/>
        <w:ind w:firstLine="0"/>
      </w:pPr>
      <w:r>
        <w:rPr>
          <w:rFonts w:ascii="Noto Sans CJK KR" w:hAnsi="Noto Sans CJK KR" w:eastAsia="Noto Sans CJK KR" w:cs="Noto Sans CJK KR"/>
          <w:b/>
          <w:sz w:val="28"/>
        </w:rPr>
        <w:t>1. 서론</w:t>
      </w:r>
    </w:p>
    <w:p>
      <w:pPr>
        <w:spacing w:line="372" w:lineRule="auto" w:after="40" w:before="0"/>
        <w:ind w:firstLine="397"/>
      </w:pPr>
      <w:r>
        <w:rPr>
          <w:rFonts w:ascii="Noto Serif CJK KR" w:hAnsi="Noto Serif CJK KR" w:eastAsia="Noto Serif CJK KR" w:cs="Noto Serif CJK KR"/>
          <w:b w:val="0"/>
          <w:sz w:val="20"/>
        </w:rPr>
        <w:t>조작적 조건형성은 어떤 행동 뒤에 나타나는 결과가 이후 그 행동의 발생 가능성을 변화시킨다는 학습이론이다. 고전적 조건형성이 자극과 반응의 연합을 설명하는 데 초점을 둔다면, 조작적 조건형성은 개인이 환경에 자발적으로 행동한 뒤 경험하는 결과를 중요하게 본다. 손다이크의 효과의 법칙을 토대로 스키너가 체계화하였으며, 관찰 가능한 행동과 환경적 결과의 관계를 분석한다는 점에서 행동수정과 응용행동분석의 중요한 이론적 기반이 되었다.</w:t>
      </w:r>
    </w:p>
    <w:p>
      <w:pPr>
        <w:spacing w:line="372" w:lineRule="auto" w:after="40" w:before="0"/>
        <w:ind w:firstLine="397"/>
      </w:pPr>
      <w:r>
        <w:rPr>
          <w:rFonts w:ascii="Noto Serif CJK KR" w:hAnsi="Noto Serif CJK KR" w:eastAsia="Noto Serif CJK KR" w:cs="Noto Serif CJK KR"/>
          <w:b w:val="0"/>
          <w:sz w:val="20"/>
        </w:rPr>
        <w:t>이 이론은 강화, 처벌, 소거, 조형, 자극통제, 강화계획을 통해 행동이 형성되고 유지되는 과정을 설명한다. 학교교육과 부모교육, 상담, 사회복지, 조직관리 등 실제 장면에서 활용도가 높지만, 인간의 사고와 감정, 자유의지와 같은 내적 과정을 충분히 다루지 못한다는 비판도 존재한다. 이하에서는 조작적 조건형성의 특징과 인간관을 살펴보고 실제 응용방법을 사례와 함께 논하고자 한다.</w:t>
      </w:r>
    </w:p>
    <w:p>
      <w:pPr>
        <w:spacing w:line="300" w:lineRule="auto" w:after="80" w:before="60"/>
        <w:ind w:firstLine="0"/>
      </w:pPr>
      <w:r>
        <w:rPr>
          <w:rFonts w:ascii="Noto Sans CJK KR" w:hAnsi="Noto Sans CJK KR" w:eastAsia="Noto Sans CJK KR" w:cs="Noto Sans CJK KR"/>
          <w:b/>
          <w:sz w:val="28"/>
        </w:rPr>
        <w:t>2. 본론</w:t>
      </w:r>
    </w:p>
    <w:p>
      <w:pPr>
        <w:spacing w:line="300" w:lineRule="auto" w:after="80" w:before="20"/>
        <w:ind w:firstLine="0"/>
      </w:pPr>
      <w:r>
        <w:rPr>
          <w:rFonts w:ascii="Noto Sans CJK KR" w:hAnsi="Noto Sans CJK KR" w:eastAsia="Noto Sans CJK KR" w:cs="Noto Sans CJK KR"/>
          <w:b/>
          <w:sz w:val="23"/>
        </w:rPr>
        <w:t>2.1 조작적 조건형성의 개념과 특징</w:t>
      </w:r>
    </w:p>
    <w:p>
      <w:pPr>
        <w:spacing w:line="372" w:lineRule="auto" w:after="40" w:before="0"/>
        <w:ind w:firstLine="397"/>
      </w:pPr>
      <w:r>
        <w:rPr>
          <w:rFonts w:ascii="Noto Serif CJK KR" w:hAnsi="Noto Serif CJK KR" w:eastAsia="Noto Serif CJK KR" w:cs="Noto Serif CJK KR"/>
          <w:b w:val="0"/>
          <w:sz w:val="20"/>
        </w:rPr>
        <w:t>첫째, 행동의 결과가 학습을 좌우한다. 행동 뒤에 주어진 결과로 행동의 빈도가 증가하면 강화이고, 행동의 빈도가 감소하면 처벌이다. 여기서 정적·부적이라는 표현은 좋고 나쁨이 아니라 자극을 더하거나 제거한다는 의미이다. 숙제를 마친 아동에게 칭찬을 제공해 숙제 행동이 증가하면 정적 강화이며, 안전벨트를 매면 경고음이 사라져 착용 행동이 늘어나는 것은 부적 강화이다. 따라서 강화와 처벌은 제공자의 의도가 아니라 실제 행동 변화로 판단해야 한다.</w:t>
      </w:r>
    </w:p>
    <w:p>
      <w:pPr>
        <w:spacing w:line="372" w:lineRule="auto" w:after="40" w:before="0"/>
        <w:ind w:firstLine="397"/>
      </w:pPr>
      <w:r>
        <w:rPr>
          <w:rFonts w:ascii="Noto Serif CJK KR" w:hAnsi="Noto Serif CJK KR" w:eastAsia="Noto Serif CJK KR" w:cs="Noto Serif CJK KR"/>
          <w:b w:val="0"/>
          <w:sz w:val="20"/>
        </w:rPr>
        <w:t>둘째, 조작적 조건형성은 개인이 환경 속에서 자발적으로 방출하는 행동을 대상으로 한다. 공부하기, 대화하기, 과제 제출하기, 도움 요청하기와 같은 행동은 다양한 결과를 경험하면서 반복되거나 감소한다. 환경은 결과를 제공함으로써 어떤 행동이 선택되고 유지될지를 조절한다.</w:t>
      </w:r>
    </w:p>
    <w:p>
      <w:pPr>
        <w:spacing w:line="372" w:lineRule="auto" w:after="40" w:before="0"/>
        <w:ind w:firstLine="397"/>
      </w:pPr>
      <w:r>
        <w:rPr>
          <w:rFonts w:ascii="Noto Serif CJK KR" w:hAnsi="Noto Serif CJK KR" w:eastAsia="Noto Serif CJK KR" w:cs="Noto Serif CJK KR"/>
          <w:b w:val="0"/>
          <w:sz w:val="20"/>
        </w:rPr>
        <w:t>셋째, 복잡한 행동을 작은 단계로 나누고 최종행동에 가까운 반응을 순차적으로 강화하는 조형을 사용할 수 있다. 발표를 두려워하는 학생에게 한 문장 말하기, 소집단 설명하기, 짧은 발표하기의 순서로 성공을 강화하면 발표행동을 점진적으로 형성할 수 있다.</w:t>
      </w:r>
    </w:p>
    <w:p>
      <w:pPr>
        <w:spacing w:line="372" w:lineRule="auto" w:after="40" w:before="0"/>
        <w:ind w:firstLine="397"/>
      </w:pPr>
      <w:r>
        <w:rPr>
          <w:rFonts w:ascii="Noto Serif CJK KR" w:hAnsi="Noto Serif CJK KR" w:eastAsia="Noto Serif CJK KR" w:cs="Noto Serif CJK KR"/>
          <w:b w:val="0"/>
          <w:sz w:val="20"/>
        </w:rPr>
        <w:t>넷째, 강화가 제공되는 방식에 따라 행동의 지속성이 달라진다. 연속강화는 새로운 행동을 빠르게 습득시키는 데 유리하며, 일정한 반응 수나 시간에 따라 강화하는 고정계획과 변화하는 기준에 따라 강화하는 변동계획은 행동의 유지와 반응률에 서로 다른 영향을 준다. 따라서 행동을 처음 가르칠 때와 이미 형성된 행동을 유지할 때 강화계획을 달리 적용할 필요가 있다.</w:t>
      </w:r>
    </w:p>
    <w:p>
      <w:r>
        <w:br w:type="page"/>
      </w:r>
    </w:p>
    <w:p>
      <w:pPr>
        <w:spacing w:line="300" w:lineRule="auto" w:after="80" w:before="20"/>
        <w:ind w:firstLine="0"/>
      </w:pPr>
      <w:r>
        <w:rPr>
          <w:rFonts w:ascii="Noto Sans CJK KR" w:hAnsi="Noto Sans CJK KR" w:eastAsia="Noto Sans CJK KR" w:cs="Noto Sans CJK KR"/>
          <w:b/>
          <w:sz w:val="23"/>
        </w:rPr>
        <w:t>2.1 조작적 조건형성의 개념과 특징(계속)</w:t>
      </w:r>
    </w:p>
    <w:p>
      <w:pPr>
        <w:spacing w:line="372" w:lineRule="auto" w:after="40" w:before="0"/>
        <w:ind w:firstLine="397"/>
      </w:pPr>
      <w:r>
        <w:rPr>
          <w:rFonts w:ascii="Noto Serif CJK KR" w:hAnsi="Noto Serif CJK KR" w:eastAsia="Noto Serif CJK KR" w:cs="Noto Serif CJK KR"/>
          <w:b w:val="0"/>
          <w:sz w:val="20"/>
        </w:rPr>
        <w:t>다섯째, 기존에 행동을 유지시키던 강화가 중단되면 행동의 빈도가 점차 감소하는 소거가 나타난다. 소거 초기에는 행동이 잠시 더 강해지는 소거폭발이 나타날 수 있으므로 적용자는 일관성을 유지해야 한다. 또한 특정 신호가 있을 때만 행동이 강화되면 개인은 그 신호를 구별하게 되는데, 이를 자극통제 또는 변별학습이라고 한다. 이러한 원리는 조작적 조건형성이 단순한 보상과 벌의 이론이 아니라 행동과 환경의 기능적 관계를 분석하는 체계라는 점을 보여준다.</w:t>
      </w:r>
    </w:p>
    <w:p>
      <w:pPr>
        <w:spacing w:line="300" w:lineRule="auto" w:after="80" w:before="20"/>
        <w:ind w:firstLine="0"/>
      </w:pPr>
      <w:r>
        <w:rPr>
          <w:rFonts w:ascii="Noto Sans CJK KR" w:hAnsi="Noto Sans CJK KR" w:eastAsia="Noto Sans CJK KR" w:cs="Noto Sans CJK KR"/>
          <w:b/>
          <w:sz w:val="23"/>
        </w:rPr>
        <w:t>2.2 조작적 조건형성에서의 인간관</w:t>
      </w:r>
    </w:p>
    <w:p>
      <w:pPr>
        <w:spacing w:line="372" w:lineRule="auto" w:after="40" w:before="0"/>
        <w:ind w:firstLine="397"/>
      </w:pPr>
      <w:r>
        <w:rPr>
          <w:rFonts w:ascii="Noto Serif CJK KR" w:hAnsi="Noto Serif CJK KR" w:eastAsia="Noto Serif CJK KR" w:cs="Noto Serif CJK KR"/>
          <w:b w:val="0"/>
          <w:sz w:val="20"/>
        </w:rPr>
        <w:t>조작적 조건형성의 인간관은 행동주의에 기반하며 인간행동의 원인을 주로 환경과 행동의 관계에서 찾는다. 사람의 행동을 성격이나 의지 같은 추상적 특성으로만 설명하기보다, 특정 행동이 과거에 어떤 결과를 가져왔는지를 분석하면 행동의 유지 원인을 파악할 수 있다고 본다. 이 관점은 문제행동을 개인의 도덕성이나 인격의 결함으로 낙인찍지 않고 선행조건과 결과를 바꾸어 변화 가능한 대상으로 본다는 장점이 있다.</w:t>
      </w:r>
    </w:p>
    <w:p>
      <w:pPr>
        <w:spacing w:line="372" w:lineRule="auto" w:after="40" w:before="0"/>
        <w:ind w:firstLine="397"/>
      </w:pPr>
      <w:r>
        <w:rPr>
          <w:rFonts w:ascii="Noto Serif CJK KR" w:hAnsi="Noto Serif CJK KR" w:eastAsia="Noto Serif CJK KR" w:cs="Noto Serif CJK KR"/>
          <w:b w:val="0"/>
          <w:sz w:val="20"/>
        </w:rPr>
        <w:t>다만 인간을 완전히 수동적인 존재로 보는 것은 정확하지 않다. 조작적 행동은 외부 자극에 자동으로 반응하는 것이 아니라 개인이 환경 속에서 스스로 방출하는 행동이다. 인간은 행동을 통해 환경을 변화시키고, 변화된 환경의 결과가 다시 행동에 영향을 준다. 그럼에도 스키너는 자유의지나 내적 원인을 행동의 최종 원인으로 보기보다 강화의 역사와 환경적 조건을 더 중요하게 보았다는 점에서 결정론적 성격을 가진다.</w:t>
      </w:r>
    </w:p>
    <w:p>
      <w:pPr>
        <w:spacing w:line="372" w:lineRule="auto" w:after="40" w:before="0"/>
        <w:ind w:firstLine="397"/>
      </w:pPr>
      <w:r>
        <w:rPr>
          <w:rFonts w:ascii="Noto Serif CJK KR" w:hAnsi="Noto Serif CJK KR" w:eastAsia="Noto Serif CJK KR" w:cs="Noto Serif CJK KR"/>
          <w:b w:val="0"/>
          <w:sz w:val="20"/>
        </w:rPr>
        <w:t>이러한 인간관은 행동을 구체적이고 측정 가능한 수준에서 이해하게 해 주지만 사고, 감정, 가치, 관계의 의미와 같은 복합적 경험을 충분히 설명하지 못할 수 있다. 따라서 상담이나 사회복지실천에서는 행동변화 원리를 활용하되 사람을 단순한 통제의 대상으로 보는 태도는 피해야 한다.</w:t>
      </w:r>
    </w:p>
    <w:p>
      <w:pPr>
        <w:spacing w:line="300" w:lineRule="auto" w:after="80" w:before="20"/>
        <w:ind w:firstLine="0"/>
      </w:pPr>
      <w:r>
        <w:rPr>
          <w:rFonts w:ascii="Noto Sans CJK KR" w:hAnsi="Noto Sans CJK KR" w:eastAsia="Noto Sans CJK KR" w:cs="Noto Sans CJK KR"/>
          <w:b/>
          <w:sz w:val="23"/>
        </w:rPr>
        <w:t>2.3 조작적 조건형성의 응용방법</w:t>
      </w:r>
    </w:p>
    <w:p>
      <w:pPr>
        <w:spacing w:line="372" w:lineRule="auto" w:after="40" w:before="0"/>
        <w:ind w:firstLine="397"/>
      </w:pPr>
      <w:r>
        <w:rPr>
          <w:rFonts w:ascii="Noto Serif CJK KR" w:hAnsi="Noto Serif CJK KR" w:eastAsia="Noto Serif CJK KR" w:cs="Noto Serif CJK KR"/>
          <w:b w:val="0"/>
          <w:sz w:val="20"/>
        </w:rPr>
        <w:t>교육에서는 목표행동이 나타났을 때 즉각적이고 구체적인 강화를 제공할 수 있다. 수업에서 “잘했다”는 막연한 칭찬보다 “친구의 말을 끝까지 듣고 근거를 들어 의견을 말한 점이 좋았다”고 피드백하면 강화되는 행동이 명확해진다. 새로운 습관은 작은 단계로 나누어 조형하고, 스티커나 점수를 보상과 교환하는 토큰경제를 활용할 수도 있다. 다만 외적 보상에만 의존하지 않도록 점차 사회적 강화와 자기강화로 전환하는 것이 바람직하다.</w:t>
      </w:r>
    </w:p>
    <w:p>
      <w:pPr>
        <w:spacing w:line="372" w:lineRule="auto" w:after="40" w:before="0"/>
        <w:ind w:firstLine="397"/>
      </w:pPr>
      <w:r>
        <w:rPr>
          <w:rFonts w:ascii="Noto Serif CJK KR" w:hAnsi="Noto Serif CJK KR" w:eastAsia="Noto Serif CJK KR" w:cs="Noto Serif CJK KR"/>
          <w:b w:val="0"/>
          <w:sz w:val="20"/>
        </w:rPr>
        <w:t>상담과 행동수정에서는 목표를 관찰 가능한 행동으로 정의하고 선행사건과 결과를 분석한다. 예를 들어 “스마트폰을 덜 사용한다”보다 “평일 오후 10시 이후 스마트폰을 거실 충전대에 둔다”고 목표를 구체화하는 것이 효과적이다. 이후 행동계약, 자기기록, 자기강화를 활용하면 내담자가 자신의 행동패턴과 변화 정도를 확인하면서 스스로 행동을 관리할 수 있다.</w:t>
      </w:r>
    </w:p>
    <w:p>
      <w:r>
        <w:br w:type="page"/>
      </w:r>
    </w:p>
    <w:p>
      <w:pPr>
        <w:spacing w:line="300" w:lineRule="auto" w:after="80" w:before="20"/>
        <w:ind w:firstLine="0"/>
      </w:pPr>
      <w:r>
        <w:rPr>
          <w:rFonts w:ascii="Noto Sans CJK KR" w:hAnsi="Noto Sans CJK KR" w:eastAsia="Noto Sans CJK KR" w:cs="Noto Sans CJK KR"/>
          <w:b/>
          <w:sz w:val="23"/>
        </w:rPr>
        <w:t>2.3 조작적 조건형성의 응용방법(계속)</w:t>
      </w:r>
    </w:p>
    <w:p>
      <w:pPr>
        <w:spacing w:line="372" w:lineRule="auto" w:after="40" w:before="0"/>
        <w:ind w:firstLine="397"/>
      </w:pPr>
      <w:r>
        <w:rPr>
          <w:rFonts w:ascii="Noto Serif CJK KR" w:hAnsi="Noto Serif CJK KR" w:eastAsia="Noto Serif CJK KR" w:cs="Noto Serif CJK KR"/>
          <w:b w:val="0"/>
          <w:sz w:val="20"/>
        </w:rPr>
        <w:t>가정에서는 처벌보다 바람직한 행동의 강화에 우선순위를 둘 수 있다. 장난감을 정리하지 않을 때마다 야단치기보다 정리 직후 구체적인 칭찬과 관심을 제공하면 정리행동이 더 안정적으로 형성될 수 있다. 규칙을 어겼을 때에는 감정적 체벌이나 모욕보다 행동과 직접 관련된 합리적 결과를 일관되게 제시해야 한다. 처벌은 행동을 빠르게 억제할 수 있지만 회피, 불안, 공격성, 처벌자에 대한 부정적 감정 같은 부작용을 일으킬 수 있기 때문이다.</w:t>
      </w:r>
    </w:p>
    <w:p>
      <w:pPr>
        <w:spacing w:line="372" w:lineRule="auto" w:after="40" w:before="0"/>
        <w:ind w:firstLine="397"/>
      </w:pPr>
      <w:r>
        <w:rPr>
          <w:rFonts w:ascii="Noto Serif CJK KR" w:hAnsi="Noto Serif CJK KR" w:eastAsia="Noto Serif CJK KR" w:cs="Noto Serif CJK KR"/>
          <w:b w:val="0"/>
          <w:sz w:val="20"/>
        </w:rPr>
        <w:t>사회복지와 재활 현장에서는 일상생활 기술이나 사회적 기술을 작은 단계로 나누어 가르치고 각 단계의 성공에 피드백을 제공할 수 있다. 독립적인 대중교통 이용을 목표로 한다면 교통카드 준비, 노선 확인, 승차, 하차의 순서로 연습할 수 있다. 조직에서는 업무목표를 명확히 하고 수행 직후 구체적인 피드백을 제공하는 방식으로 응용할 수 있다. 모든 장면에서 강화물과 목표를 전문가가 일방적으로 정하기보다 당사자의 선호와 선택권을 존중하고, 행동통제가 인간의 권리와 존엄성을 침해하지 않도록 해야 한다.</w:t>
      </w:r>
    </w:p>
    <w:p>
      <w:pPr>
        <w:spacing w:line="300" w:lineRule="auto" w:after="80" w:before="60"/>
        <w:ind w:firstLine="0"/>
      </w:pPr>
      <w:r>
        <w:rPr>
          <w:rFonts w:ascii="Noto Sans CJK KR" w:hAnsi="Noto Sans CJK KR" w:eastAsia="Noto Sans CJK KR" w:cs="Noto Sans CJK KR"/>
          <w:b/>
          <w:sz w:val="28"/>
        </w:rPr>
        <w:t>3. 결론</w:t>
      </w:r>
    </w:p>
    <w:p>
      <w:pPr>
        <w:spacing w:line="372" w:lineRule="auto" w:after="40" w:before="0"/>
        <w:ind w:firstLine="397"/>
      </w:pPr>
      <w:r>
        <w:rPr>
          <w:rFonts w:ascii="Noto Serif CJK KR" w:hAnsi="Noto Serif CJK KR" w:eastAsia="Noto Serif CJK KR" w:cs="Noto Serif CJK KR"/>
          <w:b w:val="0"/>
          <w:sz w:val="20"/>
        </w:rPr>
        <w:t>조작적 조건형성은 행동 뒤에 나타나는 결과가 이후 행동의 발생 가능성을 변화시킨다는 원리로 학습을 설명한다. 강화와 처벌, 소거, 조형, 강화계획, 자극통제 등의 개념을 통해 행동이 어떻게 형성되고 유지되는지를 구체적으로 설명할 수 있으며, 목표행동을 명확히 설정하고 변화의 정도를 측정하기 쉽다는 실천적 장점이 있다.</w:t>
      </w:r>
    </w:p>
    <w:p>
      <w:pPr>
        <w:spacing w:line="372" w:lineRule="auto" w:after="40" w:before="0"/>
        <w:ind w:firstLine="397"/>
      </w:pPr>
      <w:r>
        <w:rPr>
          <w:rFonts w:ascii="Noto Serif CJK KR" w:hAnsi="Noto Serif CJK KR" w:eastAsia="Noto Serif CJK KR" w:cs="Noto Serif CJK KR"/>
          <w:b w:val="0"/>
          <w:sz w:val="20"/>
        </w:rPr>
        <w:t>본인은 조작적 조건형성이 교육과 상담, 복지현장에서 매우 유용하지만 인간을 보상과 처벌에 의해 움직이는 존재로만 이해해서는 안 된다고 생각한다. 실제 행동에는 강화경험뿐 아니라 생각과 감정, 관계와 가치, 사회문화적 환경도 함께 작용한다. 따라서 긍정적 강화를 중심으로 활용하되 당사자가 목표 설정에 참여하고 스스로 행동을 조절하도록 돕는 방식이 적절하다. 특히 처벌 중심의 통제보다 성공경험과 선택권을 제공하는 접근이 장기적 행동변화와 인간의 존엄성을 함께 고려할 수 있다는 점에서 바람직하다고 본다.</w:t>
      </w:r>
    </w:p>
    <w:p>
      <w:pPr>
        <w:spacing w:line="300" w:lineRule="auto" w:after="80" w:before="60"/>
        <w:ind w:firstLine="0"/>
      </w:pPr>
      <w:r>
        <w:rPr>
          <w:rFonts w:ascii="Noto Sans CJK KR" w:hAnsi="Noto Sans CJK KR" w:eastAsia="Noto Sans CJK KR" w:cs="Noto Sans CJK KR"/>
          <w:b/>
          <w:sz w:val="28"/>
        </w:rPr>
        <w:t>4. 참고문헌</w:t>
      </w:r>
    </w:p>
    <w:p>
      <w:pPr>
        <w:spacing w:line="276" w:lineRule="auto" w:after="0" w:before="0"/>
        <w:ind w:firstLine="0" w:left="170"/>
      </w:pPr>
      <w:r>
        <w:rPr>
          <w:rFonts w:ascii="Noto Serif CJK KR" w:hAnsi="Noto Serif CJK KR" w:eastAsia="Noto Serif CJK KR" w:cs="Noto Serif CJK KR"/>
          <w:b w:val="0"/>
          <w:sz w:val="18"/>
        </w:rPr>
        <w:t>Skinner, B. F. (1953). Science and Human Behavior. Macmillan.</w:t>
      </w:r>
    </w:p>
    <w:p>
      <w:pPr>
        <w:spacing w:line="276" w:lineRule="auto" w:after="0" w:before="0"/>
        <w:ind w:firstLine="0" w:left="170"/>
      </w:pPr>
      <w:r>
        <w:rPr>
          <w:rFonts w:ascii="Noto Serif CJK KR" w:hAnsi="Noto Serif CJK KR" w:eastAsia="Noto Serif CJK KR" w:cs="Noto Serif CJK KR"/>
          <w:b w:val="0"/>
          <w:sz w:val="18"/>
        </w:rPr>
        <w:t>Skinner, B. F. (1974). About Behaviorism. Alfred A. Knopf.</w:t>
      </w:r>
    </w:p>
    <w:p>
      <w:pPr>
        <w:spacing w:line="276" w:lineRule="auto" w:after="0" w:before="0"/>
        <w:ind w:firstLine="0" w:left="170"/>
      </w:pPr>
      <w:r>
        <w:rPr>
          <w:rFonts w:ascii="Noto Serif CJK KR" w:hAnsi="Noto Serif CJK KR" w:eastAsia="Noto Serif CJK KR" w:cs="Noto Serif CJK KR"/>
          <w:b w:val="0"/>
          <w:sz w:val="18"/>
        </w:rPr>
        <w:t>Cooper, J. O., Heron, T. E., &amp; Heward, W. L. (2020). Applied Behavior Analysis (3rd ed.). Pearson.</w:t>
      </w:r>
    </w:p>
    <w:p>
      <w:pPr>
        <w:spacing w:line="276" w:lineRule="auto" w:after="0" w:before="0"/>
        <w:ind w:firstLine="0" w:left="170"/>
      </w:pPr>
      <w:r>
        <w:rPr>
          <w:rFonts w:ascii="Noto Serif CJK KR" w:hAnsi="Noto Serif CJK KR" w:eastAsia="Noto Serif CJK KR" w:cs="Noto Serif CJK KR"/>
          <w:b w:val="0"/>
          <w:sz w:val="18"/>
        </w:rPr>
        <w:t>Miltenberger, R. G. (2016). Behavior Modification: Principles and Procedures (6th ed.). Cengage Learning.</w:t>
      </w:r>
    </w:p>
    <w:p>
      <w:r>
        <w:br w:type="page"/>
      </w:r>
    </w:p>
    <w:p/>
    <w:p/>
    <w:p/>
    <w:p>
      <w:pPr>
        <w:spacing w:line="288" w:lineRule="auto" w:after="280" w:before="0"/>
        <w:ind w:firstLine="0"/>
        <w:jc w:val="center"/>
      </w:pPr>
      <w:r>
        <w:rPr>
          <w:rFonts w:ascii="Noto Sans CJK KR" w:hAnsi="Noto Sans CJK KR" w:eastAsia="Noto Sans CJK KR" w:cs="Noto Sans CJK KR"/>
          <w:b/>
          <w:sz w:val="32"/>
        </w:rPr>
        <w:t>주의사항</w:t>
      </w:r>
    </w:p>
    <w:p>
      <w:pPr>
        <w:spacing w:line="396" w:lineRule="auto" w:after="480" w:before="0"/>
        <w:ind w:firstLine="0"/>
        <w:jc w:val="center"/>
      </w:pPr>
      <w:r>
        <w:rPr>
          <w:rFonts w:ascii="Noto Sans CJK KR" w:hAnsi="Noto Sans CJK KR" w:eastAsia="Noto Sans CJK KR" w:cs="Noto Sans CJK KR"/>
          <w:b w:val="0"/>
          <w:sz w:val="21"/>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line="288" w:lineRule="auto" w:after="200" w:before="0"/>
        <w:ind w:firstLine="0"/>
        <w:jc w:val="center"/>
      </w:pPr>
      <w:r>
        <w:rPr>
          <w:rFonts w:ascii="Noto Sans CJK KR" w:hAnsi="Noto Sans CJK KR" w:eastAsia="Noto Sans CJK KR" w:cs="Noto Sans CJK KR"/>
          <w:b/>
          <w:sz w:val="28"/>
        </w:rPr>
        <w:t>과제 수정이 어려우신가요?</w:t>
      </w:r>
    </w:p>
    <w:p>
      <w:pPr>
        <w:spacing w:line="360" w:lineRule="auto" w:after="300" w:before="0"/>
        <w:ind w:firstLine="0"/>
        <w:jc w:val="center"/>
      </w:pPr>
      <w:r>
        <w:rPr>
          <w:rFonts w:ascii="Noto Sans CJK KR" w:hAnsi="Noto Sans CJK KR" w:eastAsia="Noto Sans CJK KR" w:cs="Noto Sans CJK KR"/>
          <w:b w:val="0"/>
          <w:sz w:val="21"/>
        </w:rPr>
        <w:t>국민원격교육관리센터에서 1:1 과제 수정 도움을 드립니다.</w:t>
        <w:br/>
        <w:t>아래 연락처로 문의해 주세요.</w:t>
      </w:r>
    </w:p>
    <w:p>
      <w:pPr>
        <w:spacing w:line="288" w:lineRule="auto" w:after="120" w:before="0"/>
        <w:ind w:firstLine="0"/>
        <w:jc w:val="center"/>
      </w:pPr>
      <w:r>
        <w:rPr>
          <w:rFonts w:ascii="Noto Sans CJK KR" w:hAnsi="Noto Sans CJK KR" w:eastAsia="Noto Sans CJK KR" w:cs="Noto Sans CJK KR"/>
          <w:b/>
          <w:sz w:val="21"/>
        </w:rPr>
        <w:t>전화: 050-7878-7044</w:t>
      </w:r>
    </w:p>
    <w:p>
      <w:pPr>
        <w:spacing w:line="288" w:lineRule="auto" w:after="120" w:before="0"/>
        <w:ind w:firstLine="0"/>
        <w:jc w:val="center"/>
      </w:pPr>
      <w:r>
        <w:rPr>
          <w:rFonts w:ascii="Noto Sans CJK KR" w:hAnsi="Noto Sans CJK KR" w:eastAsia="Noto Sans CJK KR" w:cs="Noto Sans CJK KR"/>
          <w:b/>
          <w:sz w:val="21"/>
        </w:rPr>
        <w:t>카카오톡: @국민원격교육관리센터</w:t>
      </w:r>
    </w:p>
    <w:p>
      <w:pPr>
        <w:spacing w:line="288" w:lineRule="auto" w:after="120" w:before="0"/>
        <w:ind w:firstLine="0"/>
        <w:jc w:val="center"/>
      </w:pPr>
      <w:r>
        <w:rPr>
          <w:rFonts w:ascii="Noto Sans CJK KR" w:hAnsi="Noto Sans CJK KR" w:eastAsia="Noto Sans CJK KR" w:cs="Noto Sans CJK KR"/>
          <w:b/>
          <w:sz w:val="21"/>
        </w:rPr>
        <w:t>운영시간: 평일 10:00–19:00</w:t>
      </w:r>
    </w:p>
    <w:p>
      <w:pPr>
        <w:spacing w:line="288" w:lineRule="auto" w:after="120" w:before="0"/>
        <w:ind w:firstLine="0"/>
        <w:jc w:val="center"/>
      </w:pPr>
      <w:r>
        <w:rPr>
          <w:rFonts w:ascii="Noto Sans CJK KR" w:hAnsi="Noto Sans CJK KR" w:eastAsia="Noto Sans CJK KR" w:cs="Noto Sans CJK KR"/>
          <w:b/>
          <w:sz w:val="21"/>
        </w:rPr>
        <w:t>웹사이트: korealms.co.kr</w:t>
      </w:r>
    </w:p>
    <w:sectPr w:rsidR="00FC693F" w:rsidRPr="0006063C" w:rsidSect="00034616">
      <w:footerReference w:type="default" r:id="rId9"/>
      <w:pgSz w:w="11906" w:h="16838"/>
      <w:pgMar w:top="850"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CJK KR" w:hAnsi="Noto Sans CJK KR" w:eastAsia="Noto Sans CJK KR" w:cs="Noto Sans CJK KR"/>
        <w:b w:val="0"/>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erif CJK KR" w:hAnsi="Noto Serif CJK KR" w:eastAsia="Noto Serif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