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widowControl w:val="1"/>
      </w:pPr>
      <w:r>
        <w:rPr>
          <w:rFonts w:ascii="맑은 고딕" w:hAnsi="맑은 고딕" w:eastAsia="맑은 고딕"/>
          <w:b/>
          <w:color w:val="3A5F8C"/>
          <w:sz w:val="28"/>
        </w:rPr>
        <w:t>광 고 학</w:t>
      </w:r>
    </w:p>
    <w:p>
      <w:pPr>
        <w:spacing w:before="480"/>
        <w:jc w:val="center"/>
        <w:widowControl w:val="1"/>
      </w:pPr>
      <w:r>
        <w:rPr>
          <w:rFonts w:ascii="맑은 고딕" w:hAnsi="맑은 고딕" w:eastAsia="맑은 고딕"/>
          <w:b/>
          <w:color w:val="1F3856"/>
          <w:sz w:val="46"/>
        </w:rPr>
        <w:t>광고가 생산단가와 상품가격을 높이는가</w:t>
      </w:r>
    </w:p>
    <w:p>
      <w:pPr>
        <w:spacing w:before="160"/>
        <w:jc w:val="center"/>
        <w:widowControl w:val="1"/>
      </w:pPr>
      <w:r>
        <w:rPr>
          <w:rFonts w:ascii="맑은 고딕" w:hAnsi="맑은 고딕" w:eastAsia="맑은 고딕"/>
          <w:b/>
          <w:color w:val="B2842D"/>
          <w:sz w:val="30"/>
        </w:rPr>
        <w:t>- 반대 입장에서의 경제학적 논증 -</w:t>
      </w:r>
    </w:p>
    <w:p>
      <w:pPr>
        <w:spacing w:after="360"/>
        <w:widowControl w:val="1"/>
      </w:pPr>
    </w:p>
    <w:tbl>
      <w:tblPr>
        <w:tblW w:type="auto" w:w="0"/>
        <w:jc w:val="center"/>
        <w:tblLayout w:type="fixed"/>
        <w:tblLook w:firstColumn="1" w:firstRow="1" w:lastColumn="0" w:lastRow="0" w:noHBand="0" w:noVBand="1" w:val="04A0"/>
      </w:tblPr>
      <w:tblGrid>
        <w:gridCol w:w="4680"/>
        <w:gridCol w:w="4680"/>
      </w:tblGrid>
      <w:tr>
        <w:tc>
          <w:tcPr>
            <w:tcW w:type="dxa" w:w="1814"/>
            <w:shd w:fill="DDE5ED"/>
            <w:vAlign w:val="center"/>
            <w:tcBorders>
              <w:top w:val="single" w:sz="6" w:color="CAD3DD"/>
              <w:left w:val="single" w:sz="6" w:color="CAD3DD"/>
              <w:bottom w:val="single" w:sz="6" w:color="CAD3DD"/>
              <w:right w:val="single" w:sz="6" w:color="CAD3DD"/>
            </w:tcBorders>
          </w:tcPr>
          <w:p>
            <w:pPr>
              <w:jc w:val="center"/>
            </w:pPr>
            <w:r>
              <w:rPr>
                <w:rFonts w:ascii="맑은 고딕" w:hAnsi="맑은 고딕" w:eastAsia="맑은 고딕"/>
                <w:b/>
                <w:color w:val="1F3856"/>
                <w:sz w:val="20"/>
              </w:rPr>
              <w:t>과목명</w:t>
            </w:r>
          </w:p>
        </w:tc>
        <w:tc>
          <w:tcPr>
            <w:tcW w:type="dxa" w:w="6520"/>
            <w:vAlign w:val="center"/>
            <w:tcBorders>
              <w:top w:val="single" w:sz="6" w:color="CAD3DD"/>
              <w:left w:val="single" w:sz="6" w:color="CAD3DD"/>
              <w:bottom w:val="single" w:sz="6" w:color="CAD3DD"/>
              <w:right w:val="single" w:sz="6" w:color="CAD3DD"/>
            </w:tcBorders>
          </w:tcPr>
          <w:p>
            <w:r>
              <w:rPr>
                <w:rFonts w:ascii="맑은 고딕" w:hAnsi="맑은 고딕" w:eastAsia="맑은 고딕"/>
                <w:b w:val="0"/>
                <w:sz w:val="20"/>
              </w:rPr>
              <w:t>광고학</w:t>
            </w:r>
          </w:p>
        </w:tc>
      </w:tr>
      <w:tr>
        <w:tc>
          <w:tcPr>
            <w:tcW w:type="dxa" w:w="1814"/>
            <w:shd w:fill="DDE5ED"/>
            <w:vAlign w:val="center"/>
            <w:tcBorders>
              <w:top w:val="single" w:sz="6" w:color="CAD3DD"/>
              <w:left w:val="single" w:sz="6" w:color="CAD3DD"/>
              <w:bottom w:val="single" w:sz="6" w:color="CAD3DD"/>
              <w:right w:val="single" w:sz="6" w:color="CAD3DD"/>
            </w:tcBorders>
          </w:tcPr>
          <w:p>
            <w:pPr>
              <w:jc w:val="center"/>
            </w:pPr>
            <w:r>
              <w:rPr>
                <w:rFonts w:ascii="맑은 고딕" w:hAnsi="맑은 고딕" w:eastAsia="맑은 고딕"/>
                <w:b/>
                <w:color w:val="1F3856"/>
                <w:sz w:val="20"/>
              </w:rPr>
              <w:t>과제 주제</w:t>
            </w:r>
          </w:p>
        </w:tc>
        <w:tc>
          <w:tcPr>
            <w:tcW w:type="dxa" w:w="6520"/>
            <w:vAlign w:val="center"/>
            <w:tcBorders>
              <w:top w:val="single" w:sz="6" w:color="CAD3DD"/>
              <w:left w:val="single" w:sz="6" w:color="CAD3DD"/>
              <w:bottom w:val="single" w:sz="6" w:color="CAD3DD"/>
              <w:right w:val="single" w:sz="6" w:color="CAD3DD"/>
            </w:tcBorders>
          </w:tcPr>
          <w:p>
            <w:r>
              <w:rPr>
                <w:rFonts w:ascii="맑은 고딕" w:hAnsi="맑은 고딕" w:eastAsia="맑은 고딕"/>
                <w:b w:val="0"/>
                <w:sz w:val="20"/>
              </w:rPr>
              <w:t>광고가 생산단가와 상품가격을 높이는지에 대해 찬성 또는 반대 입장에서 논증</w:t>
            </w:r>
          </w:p>
        </w:tc>
      </w:tr>
    </w:tbl>
    <w:p>
      <w:pPr>
        <w:spacing w:after="320"/>
        <w:widowControl w:val="1"/>
      </w:pPr>
    </w:p>
    <w:p>
      <w:pPr>
        <w:jc w:val="center"/>
        <w:widowControl w:val="1"/>
      </w:pPr>
      <w:r>
        <w:rPr>
          <w:rFonts w:ascii="맑은 고딕" w:hAnsi="맑은 고딕" w:eastAsia="맑은 고딕"/>
          <w:b/>
          <w:color w:val="1F3856"/>
          <w:sz w:val="28"/>
        </w:rPr>
        <w:t>목 차</w:t>
      </w:r>
    </w:p>
    <w:p>
      <w:pPr>
        <w:spacing w:after="60"/>
        <w:ind w:left="454"/>
        <w:widowControl w:val="1"/>
      </w:pPr>
      <w:r>
        <w:rPr>
          <w:rFonts w:ascii="맑은 고딕" w:hAnsi="맑은 고딕" w:eastAsia="맑은 고딕"/>
          <w:b w:val="0"/>
          <w:color w:val="1F3856"/>
          <w:sz w:val="21"/>
        </w:rPr>
        <w:t>Ⅰ. 서론</w:t>
      </w:r>
    </w:p>
    <w:p>
      <w:pPr>
        <w:spacing w:after="60"/>
        <w:ind w:left="454"/>
        <w:widowControl w:val="1"/>
      </w:pPr>
      <w:r>
        <w:rPr>
          <w:rFonts w:ascii="맑은 고딕" w:hAnsi="맑은 고딕" w:eastAsia="맑은 고딕"/>
          <w:b w:val="0"/>
          <w:color w:val="1F3856"/>
          <w:sz w:val="21"/>
        </w:rPr>
        <w:t>Ⅱ. 본론</w:t>
      </w:r>
    </w:p>
    <w:p>
      <w:pPr>
        <w:spacing w:after="60"/>
        <w:ind w:left="1020"/>
        <w:widowControl w:val="1"/>
      </w:pPr>
      <w:r>
        <w:rPr>
          <w:rFonts w:ascii="맑은 고딕" w:hAnsi="맑은 고딕" w:eastAsia="맑은 고딕"/>
          <w:b w:val="0"/>
          <w:sz w:val="21"/>
        </w:rPr>
        <w:t>1. 광고비와 생산단가·상품가격의 관계</w:t>
      </w:r>
    </w:p>
    <w:p>
      <w:pPr>
        <w:spacing w:after="60"/>
        <w:ind w:left="1020"/>
        <w:widowControl w:val="1"/>
      </w:pPr>
      <w:r>
        <w:rPr>
          <w:rFonts w:ascii="맑은 고딕" w:hAnsi="맑은 고딕" w:eastAsia="맑은 고딕"/>
          <w:b w:val="0"/>
          <w:sz w:val="21"/>
        </w:rPr>
        <w:t>2. 광고의 수요 확대와 규모의 경제</w:t>
      </w:r>
    </w:p>
    <w:p>
      <w:pPr>
        <w:spacing w:after="60"/>
        <w:ind w:left="1020"/>
        <w:widowControl w:val="1"/>
      </w:pPr>
      <w:r>
        <w:rPr>
          <w:rFonts w:ascii="맑은 고딕" w:hAnsi="맑은 고딕" w:eastAsia="맑은 고딕"/>
          <w:b w:val="0"/>
          <w:sz w:val="21"/>
        </w:rPr>
        <w:t>3. 정보 제공과 탐색비용 감소에 따른 가격경쟁</w:t>
      </w:r>
    </w:p>
    <w:p>
      <w:pPr>
        <w:spacing w:after="60"/>
        <w:ind w:left="1020"/>
        <w:widowControl w:val="1"/>
      </w:pPr>
      <w:r>
        <w:rPr>
          <w:rFonts w:ascii="맑은 고딕" w:hAnsi="맑은 고딕" w:eastAsia="맑은 고딕"/>
          <w:b w:val="0"/>
          <w:sz w:val="21"/>
        </w:rPr>
        <w:t>4. 광고가 가격을 높인다는 주장에 대한 반론 검토</w:t>
      </w:r>
    </w:p>
    <w:p>
      <w:pPr>
        <w:spacing w:after="60"/>
        <w:ind w:left="1020"/>
        <w:widowControl w:val="1"/>
      </w:pPr>
      <w:r>
        <w:rPr>
          <w:rFonts w:ascii="맑은 고딕" w:hAnsi="맑은 고딕" w:eastAsia="맑은 고딕"/>
          <w:b w:val="0"/>
          <w:sz w:val="21"/>
        </w:rPr>
        <w:t>5. 실제 시장에서의 적용과 조건</w:t>
      </w:r>
    </w:p>
    <w:p>
      <w:pPr>
        <w:spacing w:after="60"/>
        <w:ind w:left="454"/>
        <w:widowControl w:val="1"/>
      </w:pPr>
      <w:r>
        <w:rPr>
          <w:rFonts w:ascii="맑은 고딕" w:hAnsi="맑은 고딕" w:eastAsia="맑은 고딕"/>
          <w:b w:val="0"/>
          <w:color w:val="1F3856"/>
          <w:sz w:val="21"/>
        </w:rPr>
        <w:t>Ⅲ. 결론</w:t>
      </w:r>
    </w:p>
    <w:p>
      <w:pPr>
        <w:spacing w:after="60"/>
        <w:ind w:left="454"/>
        <w:widowControl w:val="1"/>
      </w:pPr>
      <w:r>
        <w:rPr>
          <w:rFonts w:ascii="맑은 고딕" w:hAnsi="맑은 고딕" w:eastAsia="맑은 고딕"/>
          <w:b w:val="0"/>
          <w:color w:val="1F3856"/>
          <w:sz w:val="21"/>
        </w:rPr>
        <w:t>Ⅳ. 참고문헌</w:t>
      </w:r>
    </w:p>
    <w:p>
      <w:pPr>
        <w:widowControl w:val="1"/>
      </w:pPr>
      <w:r>
        <w:br w:type="page"/>
      </w:r>
    </w:p>
    <w:p>
      <w:pPr>
        <w:pStyle w:val="Heading1"/>
        <w:widowControl w:val="1"/>
      </w:pPr>
      <w:r>
        <w:rPr>
          <w:rFonts w:ascii="맑은 고딕" w:hAnsi="맑은 고딕" w:eastAsia="맑은 고딕"/>
          <w:b/>
          <w:color w:val="1F3856"/>
          <w:sz w:val="30"/>
        </w:rPr>
        <w:t>Ⅰ. 서론</w:t>
      </w:r>
    </w:p>
    <w:p>
      <w:pPr>
        <w:spacing w:line="396" w:lineRule="auto" w:after="140"/>
        <w:ind w:firstLine="454"/>
        <w:jc w:val="both"/>
        <w:widowControl w:val="1"/>
      </w:pPr>
      <w:r>
        <w:rPr>
          <w:rFonts w:ascii="맑은 고딕" w:hAnsi="맑은 고딕" w:eastAsia="맑은 고딕"/>
          <w:b w:val="0"/>
          <w:sz w:val="21"/>
        </w:rPr>
        <w:t>광고는 기업이 제품과 서비스의 존재, 특성, 가격, 브랜드 이미지를 소비자에게 알리고 구매를 촉진하기 위해 사용하는 대표적인 마케팅 커뮤니케이션 수단이다. 기업이 광고를 집행하려면 매체비, 콘텐츠 제작비, 모델료, 프로모션 비용 등이 발생하므로 광고비가 결국 소비자 가격에 전가된다고 생각하기 쉽다. 이러한 관점에서는 광고가 제품의 본질적 품질을 높이지 않는 비용이라면 기업이 이를 회수하기 위해 가격을 인상할 것이며, 결과적으로 광고가 많이 이루어지는 시장일수록 소비자가 더 높은 가격을 부담하게 된다고 주장한다.</w:t>
      </w:r>
    </w:p>
    <w:p>
      <w:pPr>
        <w:spacing w:line="396" w:lineRule="auto" w:after="140"/>
        <w:ind w:firstLine="454"/>
        <w:jc w:val="both"/>
        <w:widowControl w:val="1"/>
      </w:pPr>
      <w:r>
        <w:rPr>
          <w:rFonts w:ascii="맑은 고딕" w:hAnsi="맑은 고딕" w:eastAsia="맑은 고딕"/>
          <w:b w:val="0"/>
          <w:sz w:val="21"/>
        </w:rPr>
        <w:t>그러나 본 과제에서는 ‘광고가 생산단가와 상품가격을 높인다’는 주장에 반대한다. 광고비가 기업의 비용 항목을 증가시킬 수 있다는 사실과, 광고가 단위당 생산원가 또는 최종 판매가격을 반드시 상승시킨다는 결론은 동일하지 않기 때문이다. 광고는 수요를 확대해 생산량을 늘리고 고정비를 더 많은 제품에 분산시킴으로써 평균비용을 낮출 수 있으며, 소비자가 여러 제품의 가격과 특성을 비교하는 데 드는 탐색비용을 줄여 기업 간 경쟁을 촉진할 수도 있다. 또한 광고의 가격 효과는 시장구조, 제품의 차별화 정도, 광고의 성격이 정보 제공형인지 설득형인지에 따라 달라진다. 따라서 광고비의 존재만을 근거로 광고가 상품가격을 상승시킨다고 일반화하는 것은 경제학적으로 충분하지 않다.</w:t>
      </w:r>
    </w:p>
    <w:p>
      <w:pPr>
        <w:spacing w:line="396" w:lineRule="auto" w:after="140"/>
        <w:ind w:firstLine="454"/>
        <w:jc w:val="both"/>
        <w:widowControl w:val="1"/>
      </w:pPr>
      <w:r>
        <w:rPr>
          <w:rFonts w:ascii="맑은 고딕" w:hAnsi="맑은 고딕" w:eastAsia="맑은 고딕"/>
          <w:b w:val="0"/>
          <w:sz w:val="21"/>
        </w:rPr>
        <w:t>이하에서는 먼저 광고비와 생산단가·상품가격의 관계를 구분하고, 광고가 규모의 경제와 정보 제공 기능을 통해 가격을 낮추거나 가격상승 압력을 상쇄할 수 있는 이유를 분석한다. 이어 광고가 브랜드 충성도와 시장지배력을 강화해 가격을 높일 수 있다는 반론을 검토한 뒤, 어떠한 조건에서 광고가 소비자 후생과 가격경쟁에 긍정적으로 작용하는지 제시하고자 한다.</w:t>
      </w:r>
    </w:p>
    <w:p>
      <w:pPr>
        <w:pStyle w:val="Heading1"/>
        <w:widowControl w:val="1"/>
      </w:pPr>
      <w:r>
        <w:rPr>
          <w:rFonts w:ascii="맑은 고딕" w:hAnsi="맑은 고딕" w:eastAsia="맑은 고딕"/>
          <w:b/>
          <w:color w:val="1F3856"/>
          <w:sz w:val="30"/>
        </w:rPr>
        <w:t>Ⅱ. 본론</w:t>
      </w:r>
    </w:p>
    <w:p>
      <w:pPr>
        <w:pStyle w:val="Heading2"/>
        <w:widowControl w:val="1"/>
      </w:pPr>
      <w:r>
        <w:rPr>
          <w:rFonts w:ascii="맑은 고딕" w:hAnsi="맑은 고딕" w:eastAsia="맑은 고딕"/>
          <w:b/>
          <w:color w:val="3A5F8C"/>
          <w:sz w:val="24"/>
        </w:rPr>
        <w:t>1. 광고비와 생산단가·상품가격의 관계</w:t>
      </w:r>
    </w:p>
    <w:p>
      <w:pPr>
        <w:spacing w:line="396" w:lineRule="auto" w:after="140"/>
        <w:ind w:firstLine="454"/>
        <w:jc w:val="both"/>
        <w:widowControl w:val="1"/>
      </w:pPr>
      <w:r>
        <w:rPr>
          <w:rFonts w:ascii="맑은 고딕" w:hAnsi="맑은 고딕" w:eastAsia="맑은 고딕"/>
          <w:b w:val="0"/>
          <w:sz w:val="21"/>
        </w:rPr>
        <w:t>광고가 생산단가를 높인다는 주장을 검토하려면 먼저 생산원가와 판매·관리비를 구분할 필요가 있다. 제조업에서 생산단가는 일반적으로 원재료비, 직접노무비, 제조간접비 등 제품을 생산하는 과정에서 투입되는 비용을 생산량으로 나누어 산출한다. 반면 광고비는 대부분 판매를 촉진하기 위한 판매·관리비 성격의 비용이다. 물론 기업의 전체 비용과 이익을 고려하면 광고비도 장기적으로 가격결정에 영향을 줄 수 있으나, 광고비가 발생했다는 이유만으로 물리적인 제조원가가 곧바로 상승한다고 보기는 어렵다. 즉 ‘광고비 증가 → 생산단가 상승 → 판매가격 상승’이라는 단선적 인과관계는 회계적 비용구조와 가격결정 과정을 지나치게 단순화한다.</w:t>
      </w:r>
    </w:p>
    <w:p>
      <w:pPr>
        <w:spacing w:line="396" w:lineRule="auto" w:after="140"/>
        <w:ind w:firstLine="454"/>
        <w:jc w:val="both"/>
        <w:widowControl w:val="1"/>
      </w:pPr>
      <w:r>
        <w:rPr>
          <w:rFonts w:ascii="맑은 고딕" w:hAnsi="맑은 고딕" w:eastAsia="맑은 고딕"/>
          <w:b w:val="0"/>
          <w:sz w:val="21"/>
        </w:rPr>
        <w:t>상품가격 역시 원가에 일정한 이윤율을 더해 기계적으로 결정되는 것만은 아니다. 실제 시장에서 기업은 소비자의 지불의사, 경쟁기업의 가격, 시장점유율 목표, 유통채널의 협상력, 재고 수준, 브랜드 전략 등을 종합해 가격을 결정한다. Kotler와 Keller(2016)가 설명하는 마케팅 관리의 관점에서도 가격은 제품·유통·촉진과 상호작용하는 전략변수이다. 광고비가 늘어도 경쟁이 치열해 가격을 올리기 어렵다면 기업은 가격을 유지하면서 광고 효율성을 높이거나 다른 비용을 절감할 수 있고, 광고로 판매량이 크게 증가한다면 오히려 단위당 비용을 낮출 여지도 있다.</w:t>
      </w:r>
    </w:p>
    <w:tbl>
      <w:tblPr>
        <w:tblW w:type="auto" w:w="0"/>
        <w:jc w:val="center"/>
        <w:tblLook w:firstColumn="1" w:firstRow="1" w:lastColumn="0" w:lastRow="0" w:noHBand="0" w:noVBand="1" w:val="04A0"/>
      </w:tblPr>
      <w:tblGrid>
        <w:gridCol w:w="9360"/>
      </w:tblGrid>
      <w:tr>
        <w:tc>
          <w:tcPr>
            <w:tcW w:type="dxa" w:w="9360"/>
            <w:shd w:fill="EEF2F6"/>
            <w:tcBorders>
              <w:top w:val="single" w:sz="8" w:color="8EA3B7"/>
              <w:left w:val="single" w:sz="8" w:color="8EA3B7"/>
              <w:bottom w:val="single" w:sz="8" w:color="8EA3B7"/>
              <w:right w:val="single" w:sz="8" w:color="8EA3B7"/>
            </w:tcBorders>
          </w:tcPr>
          <w:p>
            <w:pPr>
              <w:spacing w:line="348" w:lineRule="auto"/>
            </w:pPr>
            <w:r>
              <w:rPr>
                <w:rFonts w:ascii="맑은 고딕" w:hAnsi="맑은 고딕" w:eastAsia="맑은 고딕"/>
                <w:b w:val="0"/>
                <w:color w:val="1F3856"/>
                <w:sz w:val="20"/>
              </w:rPr>
              <w:t>예시: 광고비가 1억 원 증가하더라도 광고를 통해 판매량이 10만 개에서 20만 개로 늘고, 공장 임차료·설비 감가상각비 같은 고정비가 동일하게 유지된다면 제품 1개가 부담하는 고정비는 감소한다. 따라서 총비용은 증가해도 단위당 평균비용은 오히려 낮아질 수 있다.</w:t>
            </w:r>
          </w:p>
        </w:tc>
      </w:tr>
    </w:tbl>
    <w:p>
      <w:pPr>
        <w:pStyle w:val="Heading2"/>
        <w:widowControl w:val="1"/>
      </w:pPr>
      <w:r>
        <w:rPr>
          <w:rFonts w:ascii="맑은 고딕" w:hAnsi="맑은 고딕" w:eastAsia="맑은 고딕"/>
          <w:b/>
          <w:color w:val="3A5F8C"/>
          <w:sz w:val="24"/>
        </w:rPr>
        <w:t>2. 광고의 수요 확대와 규모의 경제</w:t>
      </w:r>
    </w:p>
    <w:p>
      <w:pPr>
        <w:spacing w:line="396" w:lineRule="auto" w:after="140"/>
        <w:ind w:firstLine="454"/>
        <w:jc w:val="both"/>
        <w:widowControl w:val="1"/>
      </w:pPr>
      <w:r>
        <w:rPr>
          <w:rFonts w:ascii="맑은 고딕" w:hAnsi="맑은 고딕" w:eastAsia="맑은 고딕"/>
          <w:b w:val="0"/>
          <w:sz w:val="21"/>
        </w:rPr>
        <w:t>광고가 가격상승을 억제할 수 있는 첫 번째 논리는 수요 확대와 규모의 경제이다. 많은 산업에서는 일정 수준 이상의 생산설비, 연구개발, 물류망, 품질관리 시스템을 갖추기 위해 고정비가 발생한다. 생산량이 적을 때에는 이 고정비가 소수의 제품에 배분되므로 평균비용이 높지만, 판매량이 증가하면 동일한 고정비가 더 많은 제품에 분산되어 단위당 평균비용이 낮아진다. 광고가 새로운 고객을 유입하고 반복구매를 늘려 판매량을 확대한다면, 광고비 자체의 증가분보다 규모의 경제에서 발생하는 비용절감 효과가 더 클 수 있다.</w:t>
      </w:r>
    </w:p>
    <w:p>
      <w:pPr>
        <w:spacing w:line="396" w:lineRule="auto" w:after="140"/>
        <w:ind w:firstLine="454"/>
        <w:jc w:val="both"/>
        <w:widowControl w:val="1"/>
      </w:pPr>
      <w:r>
        <w:rPr>
          <w:rFonts w:ascii="맑은 고딕" w:hAnsi="맑은 고딕" w:eastAsia="맑은 고딕"/>
          <w:b w:val="0"/>
          <w:sz w:val="21"/>
        </w:rPr>
        <w:t>예를 들어 식품, 생활용품, 화장품처럼 대량생산이 가능한 소비재는 생산량이 늘수록 원재료 대량구매, 설비가동률 상승, 물류 효율화, 포장 공정의 표준화 등을 통해 단위당 비용을 줄일 가능성이 있다. 이때 광고는 단순한 ‘추가 비용’이 아니라 생산과 유통 규모를 확대시키는 수요 창출 투자로 기능한다. Bagwell(2007)은 광고를 경제학적으로 분석하면서 광고의 설득적 기능뿐 아니라 정보 제공과 시장성과에 미치는 다양한 효과를 함께 검토해야 한다고 설명한다. 이 관점에서 중요한 것은 광고비의 절대액이 아니라 광고가 판매량, 경쟁, 비용구조에 미치는 순효과이다.</w:t>
      </w:r>
    </w:p>
    <w:p>
      <w:pPr>
        <w:spacing w:line="396" w:lineRule="auto" w:after="140"/>
        <w:ind w:firstLine="454"/>
        <w:jc w:val="both"/>
        <w:widowControl w:val="1"/>
      </w:pPr>
      <w:r>
        <w:rPr>
          <w:rFonts w:ascii="맑은 고딕" w:hAnsi="맑은 고딕" w:eastAsia="맑은 고딕"/>
          <w:b w:val="0"/>
          <w:sz w:val="21"/>
        </w:rPr>
        <w:t>또한 광고가 매출을 확대하면 기업은 공급업체와의 협상력을 높여 원재료나 포장재를 낮은 단가로 조달할 수 있다. 물류에서도 배송 빈도와 적재율이 높아져 단위당 운송비가 감소할 수 있다. 이러한 비용절감이 발생하면 기업은 가격을 인상하지 않고도 광고비를 회수할 수 있으며, 경쟁기업과의 점유율 경쟁을 위해 절감분을 가격 할인이나 용량 확대 형태로 소비자에게 이전할 수도 있다. 따라서 광고와 가격의 관계를 분석할 때에는 광고비가 비용을 추가한다는 한 측면만이 아니라 판매량 확대가 평균비용에 미치는 효과를 동시에 고려해야 한다.</w:t>
      </w:r>
    </w:p>
    <w:p>
      <w:pPr>
        <w:pStyle w:val="Heading2"/>
        <w:widowControl w:val="1"/>
      </w:pPr>
      <w:r>
        <w:rPr>
          <w:rFonts w:ascii="맑은 고딕" w:hAnsi="맑은 고딕" w:eastAsia="맑은 고딕"/>
          <w:b/>
          <w:color w:val="3A5F8C"/>
          <w:sz w:val="24"/>
        </w:rPr>
        <w:t>3. 정보 제공과 탐색비용 감소에 따른 가격경쟁</w:t>
      </w:r>
    </w:p>
    <w:p>
      <w:pPr>
        <w:spacing w:line="396" w:lineRule="auto" w:after="140"/>
        <w:ind w:firstLine="454"/>
        <w:jc w:val="both"/>
        <w:widowControl w:val="1"/>
      </w:pPr>
      <w:r>
        <w:rPr>
          <w:rFonts w:ascii="맑은 고딕" w:hAnsi="맑은 고딕" w:eastAsia="맑은 고딕"/>
          <w:b w:val="0"/>
          <w:sz w:val="21"/>
        </w:rPr>
        <w:t>광고가 가격을 낮출 수 있는 두 번째 경로는 정보 제공이다. Stigler(1961)는 소비자가 시장의 모든 가격정보를 무료로 알 수 없으며, 더 낮은 가격을 찾기 위해서는 시간과 노력이 필요하다고 설명했다. 이러한 탐색비용이 높으면 소비자는 현재 알고 있는 판매자의 높은 가격을 그대로 수용할 가능성이 커진다. 반대로 광고가 가격, 할인조건, 제품 기능, 판매처 정보를 제공하면 소비자는 여러 대안을 더 쉽게 비교할 수 있고, 기업은 경쟁기업의 가격을 의식해 가격을 낮추거나 혜택을 확대할 유인을 갖게 된다.</w:t>
      </w:r>
    </w:p>
    <w:p>
      <w:pPr>
        <w:spacing w:line="396" w:lineRule="auto" w:after="140"/>
        <w:ind w:firstLine="454"/>
        <w:jc w:val="both"/>
        <w:widowControl w:val="1"/>
      </w:pPr>
      <w:r>
        <w:rPr>
          <w:rFonts w:ascii="맑은 고딕" w:hAnsi="맑은 고딕" w:eastAsia="맑은 고딕"/>
          <w:b w:val="0"/>
          <w:sz w:val="21"/>
        </w:rPr>
        <w:t>Nelson(1974)은 광고가 특히 경험재의 품질에 관한 간접적 신호와 정보를 제공할 수 있다는 점을 논의하였다. 소비자가 제품의 존재 자체를 모르거나 품질 비교가 어려운 시장에서는 광고가 새로운 대안을 알려 시장진입을 돕고, 기존 기업의 독점적인 고객기반을 흔들 수 있다. 온라인 쇼핑과 모바일 가격비교 환경에서는 이러한 기능이 더욱 분명해진다. 기업은 검색광고나 쇼핑광고에서 가격, 배송비, 쿠폰, 평점 등을 동시에 제시하며 경쟁하는데, 소비자가 비교하기 쉬울수록 특정 기업이 광고비를 이유로 임의의 가격인상을 지속하기는 어렵다.</w:t>
      </w:r>
    </w:p>
    <w:p>
      <w:pPr>
        <w:spacing w:line="396" w:lineRule="auto" w:after="140"/>
        <w:ind w:firstLine="454"/>
        <w:jc w:val="both"/>
        <w:widowControl w:val="1"/>
      </w:pPr>
      <w:r>
        <w:rPr>
          <w:rFonts w:ascii="맑은 고딕" w:hAnsi="맑은 고딕" w:eastAsia="맑은 고딕"/>
          <w:b w:val="0"/>
          <w:sz w:val="21"/>
        </w:rPr>
        <w:t>특히 할인 광고는 가격경쟁을 직접적으로 촉진한다. 한 기업이 ‘이번 주 20% 할인’이나 ‘동일 상품 최저가’를 광고하면 경쟁기업은 소비자 이탈을 막기 위해 유사한 할인이나 부가혜택을 제공할 수 있다. 광고는 이처럼 가격정보를 널리 확산시켜 경쟁의 속도를 높일 수 있다. 따라서 광고를 단순히 소비자를 설득해 더 비싼 상품을 사게 만드는 수단으로 보는 것은 광고의 정보경제학적 기능을 충분히 반영하지 못한다.</w:t>
      </w:r>
    </w:p>
    <w:p>
      <w:pPr>
        <w:pStyle w:val="Heading2"/>
        <w:widowControl w:val="1"/>
      </w:pPr>
      <w:r>
        <w:rPr>
          <w:rFonts w:ascii="맑은 고딕" w:hAnsi="맑은 고딕" w:eastAsia="맑은 고딕"/>
          <w:b/>
          <w:color w:val="3A5F8C"/>
          <w:sz w:val="24"/>
        </w:rPr>
        <w:t>4. 광고가 가격을 높인다는 주장에 대한 반론 검토</w:t>
      </w:r>
    </w:p>
    <w:p>
      <w:pPr>
        <w:spacing w:line="396" w:lineRule="auto" w:after="140"/>
        <w:ind w:firstLine="454"/>
        <w:jc w:val="both"/>
        <w:widowControl w:val="1"/>
      </w:pPr>
      <w:r>
        <w:rPr>
          <w:rFonts w:ascii="맑은 고딕" w:hAnsi="맑은 고딕" w:eastAsia="맑은 고딕"/>
          <w:b w:val="0"/>
          <w:sz w:val="21"/>
        </w:rPr>
        <w:t>물론 광고가 항상 가격을 낮추는 것은 아니다. 반대 입장을 설득력 있게 제시하려면 광고가 가격을 높일 수 있다는 주장을 인정하고 그 조건을 구분해야 한다. 설득형 광고가 브랜드 이미지를 강화하고 소비자의 브랜드 충성도를 높이면, 소비자는 비슷한 기능의 다른 제품보다 특정 브랜드에 더 높은 가격을 지불할 수 있다. 이 경우 기업은 가격민감도가 낮아진 고객을 바탕으로 프리미엄 가격을 설정할 수 있으며, 대규모 광고비가 신규 경쟁자의 시장진입 부담을 높이는 효과도 나타날 수 있다.</w:t>
      </w:r>
    </w:p>
    <w:p>
      <w:pPr>
        <w:spacing w:line="396" w:lineRule="auto" w:after="140"/>
        <w:ind w:firstLine="454"/>
        <w:jc w:val="both"/>
        <w:widowControl w:val="1"/>
      </w:pPr>
      <w:r>
        <w:rPr>
          <w:rFonts w:ascii="맑은 고딕" w:hAnsi="맑은 고딕" w:eastAsia="맑은 고딕"/>
          <w:b w:val="0"/>
          <w:sz w:val="21"/>
        </w:rPr>
        <w:t>그러나 이러한 가능성은 ‘광고가 존재하면 가격이 상승한다’는 보편적 명제를 의미하지 않는다. 첫째, 브랜드 프리미엄은 광고비의 단순 전가라기보다 소비자가 인식하는 품질, 신뢰, 디자인, 서비스, 상징적 가치에 대한 지불의사와 결합되어 형성된다. 둘째, 동일한 광고라도 가격비교가 쉬운 시장과 경쟁이 치열한 시장에서는 기업의 가격인상 여력이 제한된다. 셋째, 광고로 인해 새로운 기업이나 신제품이 빠르게 알려지면 기존 기업의 시장지배력이 약화될 수도 있다. 결국 광고의 가격효과는 시장구조와 광고 유형에 따라 상반되게 나타날 수 있다.</w:t>
      </w:r>
    </w:p>
    <w:p>
      <w:pPr>
        <w:spacing w:line="396" w:lineRule="auto" w:after="140"/>
        <w:ind w:firstLine="454"/>
        <w:jc w:val="both"/>
        <w:widowControl w:val="1"/>
      </w:pPr>
      <w:r>
        <w:rPr>
          <w:rFonts w:ascii="맑은 고딕" w:hAnsi="맑은 고딕" w:eastAsia="맑은 고딕"/>
          <w:b w:val="0"/>
          <w:sz w:val="21"/>
        </w:rPr>
        <w:t>따라서 반대 입장의 핵심은 광고가 가격상승을 절대 일으키지 않는다고 주장하는 데 있지 않다. 핵심은 광고비가 발생한다는 사실만으로 가격상승을 필연적 결과로 간주할 수 없다는 것이다. 광고가 수요를 확대해 평균비용을 낮추고, 가격정보를 확산하며, 새로운 상품의 시장진입을 촉진한다면 광고는 오히려 가격경쟁과 소비자 선택권을 강화할 수 있다.</w:t>
      </w:r>
    </w:p>
    <w:p>
      <w:pPr>
        <w:pStyle w:val="Heading2"/>
        <w:widowControl w:val="1"/>
      </w:pPr>
      <w:r>
        <w:rPr>
          <w:rFonts w:ascii="맑은 고딕" w:hAnsi="맑은 고딕" w:eastAsia="맑은 고딕"/>
          <w:b/>
          <w:color w:val="3A5F8C"/>
          <w:sz w:val="24"/>
        </w:rPr>
        <w:t>5. 실제 시장에서의 적용과 조건</w:t>
      </w:r>
    </w:p>
    <w:p>
      <w:pPr>
        <w:spacing w:line="396" w:lineRule="auto" w:after="140"/>
        <w:ind w:firstLine="454"/>
        <w:jc w:val="both"/>
        <w:widowControl w:val="1"/>
      </w:pPr>
      <w:r>
        <w:rPr>
          <w:rFonts w:ascii="맑은 고딕" w:hAnsi="맑은 고딕" w:eastAsia="맑은 고딕"/>
          <w:b w:val="0"/>
          <w:sz w:val="21"/>
        </w:rPr>
        <w:t>현실에서 광고의 가격효과는 상품의 성격에 따라 다르게 나타난다. 먼저 표준화된 상품이나 가격비교가 쉬운 상품에서는 정보형 광고의 효과가 크다. 소비자가 동일하거나 유사한 제품의 가격을 쉽게 비교할 수 있기 때문에 광고를 많이 한 기업이라고 해서 단순히 광고비만큼 가격을 올리기 어렵다. 오히려 판매량 확대와 재고회전율 개선이 중요하므로 기업은 광고를 통해 고객을 모은 뒤 경쟁가격을 유지하려는 경향이 강해질 수 있다.</w:t>
      </w:r>
    </w:p>
    <w:p>
      <w:pPr>
        <w:spacing w:line="396" w:lineRule="auto" w:after="140"/>
        <w:ind w:firstLine="454"/>
        <w:jc w:val="both"/>
        <w:widowControl w:val="1"/>
      </w:pPr>
      <w:r>
        <w:rPr>
          <w:rFonts w:ascii="맑은 고딕" w:hAnsi="맑은 고딕" w:eastAsia="맑은 고딕"/>
          <w:b w:val="0"/>
          <w:sz w:val="21"/>
        </w:rPr>
        <w:t>반면 명품, 프리미엄 화장품, 고급 자동차처럼 브랜드 상징성과 감성적 가치가 큰 시장에서는 광고가 차별화와 지불의사를 높이는 데 더 큰 역할을 할 수 있다. 이 경우 광고와 높은 가격이 함께 관찰될 가능성이 있지만, 높은 가격이 광고비의 직접적인 결과인지, 브랜드가 제공하는 차별적 가치에 대한 소비자 평가의 결과인지를 구분해야 한다. 광고비와 가격이 함께 높다는 상관관계만으로 광고가 가격상승의 원인이라고 단정하기 어렵다는 의미이다.</w:t>
      </w:r>
    </w:p>
    <w:p>
      <w:pPr>
        <w:widowControl w:val="1"/>
      </w:pPr>
      <w:r>
        <w:rPr>
          <w:rFonts w:ascii="맑은 고딕" w:hAnsi="맑은 고딕" w:eastAsia="맑은 고딕"/>
          <w:b/>
          <w:color w:val="1F3856"/>
          <w:sz w:val="20"/>
        </w:rPr>
        <w:t>표 1. 광고가 가격에 미치는 상반된 경로</w:t>
      </w:r>
    </w:p>
    <w:tbl>
      <w:tblPr>
        <w:tblStyle w:val="TableGrid"/>
        <w:tblW w:type="auto" w:w="0"/>
        <w:jc w:val="center"/>
        <w:tblLook w:firstColumn="1" w:firstRow="1" w:lastColumn="0" w:lastRow="0" w:noHBand="0" w:noVBand="1" w:val="04A0"/>
      </w:tblPr>
      <w:tblGrid>
        <w:gridCol w:w="3120"/>
        <w:gridCol w:w="3120"/>
        <w:gridCol w:w="3120"/>
      </w:tblGrid>
      <w:tr>
        <w:trPr>
          <w:tblHeader w:val="true"/>
        </w:trPr>
        <w:tc>
          <w:tcPr>
            <w:tcW w:type="dxa" w:w="3120"/>
            <w:shd w:fill="DDE5ED"/>
            <w:vAlign w:val="center"/>
          </w:tcPr>
          <w:p>
            <w:pPr>
              <w:jc w:val="center"/>
            </w:pPr>
            <w:r>
              <w:rPr>
                <w:rFonts w:ascii="맑은 고딕" w:hAnsi="맑은 고딕" w:eastAsia="맑은 고딕"/>
                <w:b/>
                <w:color w:val="1F3856"/>
                <w:sz w:val="19"/>
              </w:rPr>
              <w:t>광고의 작용</w:t>
            </w:r>
          </w:p>
        </w:tc>
        <w:tc>
          <w:tcPr>
            <w:tcW w:type="dxa" w:w="3120"/>
            <w:shd w:fill="DDE5ED"/>
            <w:vAlign w:val="center"/>
          </w:tcPr>
          <w:p>
            <w:pPr>
              <w:jc w:val="center"/>
            </w:pPr>
            <w:r>
              <w:rPr>
                <w:rFonts w:ascii="맑은 고딕" w:hAnsi="맑은 고딕" w:eastAsia="맑은 고딕"/>
                <w:b/>
                <w:color w:val="1F3856"/>
                <w:sz w:val="19"/>
              </w:rPr>
              <w:t>경제적 메커니즘</w:t>
            </w:r>
          </w:p>
        </w:tc>
        <w:tc>
          <w:tcPr>
            <w:tcW w:type="dxa" w:w="3120"/>
            <w:shd w:fill="DDE5ED"/>
            <w:vAlign w:val="center"/>
          </w:tcPr>
          <w:p>
            <w:pPr>
              <w:jc w:val="center"/>
            </w:pPr>
            <w:r>
              <w:rPr>
                <w:rFonts w:ascii="맑은 고딕" w:hAnsi="맑은 고딕" w:eastAsia="맑은 고딕"/>
                <w:b/>
                <w:color w:val="1F3856"/>
                <w:sz w:val="19"/>
              </w:rPr>
              <w:t>가격에 대한 가능 효과</w:t>
            </w:r>
          </w:p>
        </w:tc>
      </w:tr>
      <w:tr>
        <w:tc>
          <w:tcPr>
            <w:tcW w:type="dxa" w:w="3120"/>
            <w:vAlign w:val="center"/>
          </w:tcPr>
          <w:p>
            <w:pPr>
              <w:jc w:val="center"/>
            </w:pPr>
            <w:r>
              <w:rPr>
                <w:rFonts w:ascii="맑은 고딕" w:hAnsi="맑은 고딕" w:eastAsia="맑은 고딕"/>
                <w:b w:val="0"/>
                <w:sz w:val="18"/>
              </w:rPr>
              <w:t>수요 확대</w:t>
            </w:r>
          </w:p>
        </w:tc>
        <w:tc>
          <w:tcPr>
            <w:tcW w:type="dxa" w:w="3120"/>
            <w:vAlign w:val="center"/>
          </w:tcPr>
          <w:p>
            <w:pPr>
              <w:jc w:val="left"/>
            </w:pPr>
            <w:r>
              <w:rPr>
                <w:rFonts w:ascii="맑은 고딕" w:hAnsi="맑은 고딕" w:eastAsia="맑은 고딕"/>
                <w:b w:val="0"/>
                <w:sz w:val="18"/>
              </w:rPr>
              <w:t>생산량 증가, 고정비 분산, 구매·물류 효율</w:t>
            </w:r>
          </w:p>
        </w:tc>
        <w:tc>
          <w:tcPr>
            <w:tcW w:type="dxa" w:w="3120"/>
            <w:vAlign w:val="center"/>
          </w:tcPr>
          <w:p>
            <w:pPr>
              <w:jc w:val="center"/>
            </w:pPr>
            <w:r>
              <w:rPr>
                <w:rFonts w:ascii="맑은 고딕" w:hAnsi="맑은 고딕" w:eastAsia="맑은 고딕"/>
                <w:b w:val="0"/>
                <w:sz w:val="18"/>
              </w:rPr>
              <w:t>평균비용 하락 → 가격상승 압력 완화</w:t>
            </w:r>
          </w:p>
        </w:tc>
      </w:tr>
      <w:tr>
        <w:tc>
          <w:tcPr>
            <w:tcW w:type="dxa" w:w="3120"/>
            <w:vAlign w:val="center"/>
          </w:tcPr>
          <w:p>
            <w:pPr>
              <w:jc w:val="center"/>
            </w:pPr>
            <w:r>
              <w:rPr>
                <w:rFonts w:ascii="맑은 고딕" w:hAnsi="맑은 고딕" w:eastAsia="맑은 고딕"/>
                <w:b w:val="0"/>
                <w:sz w:val="18"/>
              </w:rPr>
              <w:t>정보 제공</w:t>
            </w:r>
          </w:p>
        </w:tc>
        <w:tc>
          <w:tcPr>
            <w:tcW w:type="dxa" w:w="3120"/>
            <w:vAlign w:val="center"/>
          </w:tcPr>
          <w:p>
            <w:pPr>
              <w:jc w:val="left"/>
            </w:pPr>
            <w:r>
              <w:rPr>
                <w:rFonts w:ascii="맑은 고딕" w:hAnsi="맑은 고딕" w:eastAsia="맑은 고딕"/>
                <w:b w:val="0"/>
                <w:sz w:val="18"/>
              </w:rPr>
              <w:t>가격·제품정보 확산, 소비자 탐색비용 감소</w:t>
            </w:r>
          </w:p>
        </w:tc>
        <w:tc>
          <w:tcPr>
            <w:tcW w:type="dxa" w:w="3120"/>
            <w:vAlign w:val="center"/>
          </w:tcPr>
          <w:p>
            <w:pPr>
              <w:jc w:val="center"/>
            </w:pPr>
            <w:r>
              <w:rPr>
                <w:rFonts w:ascii="맑은 고딕" w:hAnsi="맑은 고딕" w:eastAsia="맑은 고딕"/>
                <w:b w:val="0"/>
                <w:sz w:val="18"/>
              </w:rPr>
              <w:t>기업 간 가격경쟁 강화</w:t>
            </w:r>
          </w:p>
        </w:tc>
      </w:tr>
      <w:tr>
        <w:tc>
          <w:tcPr>
            <w:tcW w:type="dxa" w:w="3120"/>
            <w:vAlign w:val="center"/>
          </w:tcPr>
          <w:p>
            <w:pPr>
              <w:jc w:val="center"/>
            </w:pPr>
            <w:r>
              <w:rPr>
                <w:rFonts w:ascii="맑은 고딕" w:hAnsi="맑은 고딕" w:eastAsia="맑은 고딕"/>
                <w:b w:val="0"/>
                <w:sz w:val="18"/>
              </w:rPr>
              <w:t>시장진입 지원</w:t>
            </w:r>
          </w:p>
        </w:tc>
        <w:tc>
          <w:tcPr>
            <w:tcW w:type="dxa" w:w="3120"/>
            <w:vAlign w:val="center"/>
          </w:tcPr>
          <w:p>
            <w:pPr>
              <w:jc w:val="left"/>
            </w:pPr>
            <w:r>
              <w:rPr>
                <w:rFonts w:ascii="맑은 고딕" w:hAnsi="맑은 고딕" w:eastAsia="맑은 고딕"/>
                <w:b w:val="0"/>
                <w:sz w:val="18"/>
              </w:rPr>
              <w:t>신제품·신규기업 인지도 확대</w:t>
            </w:r>
          </w:p>
        </w:tc>
        <w:tc>
          <w:tcPr>
            <w:tcW w:type="dxa" w:w="3120"/>
            <w:vAlign w:val="center"/>
          </w:tcPr>
          <w:p>
            <w:pPr>
              <w:jc w:val="center"/>
            </w:pPr>
            <w:r>
              <w:rPr>
                <w:rFonts w:ascii="맑은 고딕" w:hAnsi="맑은 고딕" w:eastAsia="맑은 고딕"/>
                <w:b w:val="0"/>
                <w:sz w:val="18"/>
              </w:rPr>
              <w:t>기존 기업의 시장지배력 약화 가능</w:t>
            </w:r>
          </w:p>
        </w:tc>
      </w:tr>
      <w:tr>
        <w:tc>
          <w:tcPr>
            <w:tcW w:type="dxa" w:w="3120"/>
            <w:vAlign w:val="center"/>
          </w:tcPr>
          <w:p>
            <w:pPr>
              <w:jc w:val="center"/>
            </w:pPr>
            <w:r>
              <w:rPr>
                <w:rFonts w:ascii="맑은 고딕" w:hAnsi="맑은 고딕" w:eastAsia="맑은 고딕"/>
                <w:b w:val="0"/>
                <w:sz w:val="18"/>
              </w:rPr>
              <w:t>브랜드 차별화</w:t>
            </w:r>
          </w:p>
        </w:tc>
        <w:tc>
          <w:tcPr>
            <w:tcW w:type="dxa" w:w="3120"/>
            <w:vAlign w:val="center"/>
          </w:tcPr>
          <w:p>
            <w:pPr>
              <w:jc w:val="left"/>
            </w:pPr>
            <w:r>
              <w:rPr>
                <w:rFonts w:ascii="맑은 고딕" w:hAnsi="맑은 고딕" w:eastAsia="맑은 고딕"/>
                <w:b w:val="0"/>
                <w:sz w:val="18"/>
              </w:rPr>
              <w:t>충성도·지불의사 상승, 대체가능성 감소</w:t>
            </w:r>
          </w:p>
        </w:tc>
        <w:tc>
          <w:tcPr>
            <w:tcW w:type="dxa" w:w="3120"/>
            <w:vAlign w:val="center"/>
          </w:tcPr>
          <w:p>
            <w:pPr>
              <w:jc w:val="center"/>
            </w:pPr>
            <w:r>
              <w:rPr>
                <w:rFonts w:ascii="맑은 고딕" w:hAnsi="맑은 고딕" w:eastAsia="맑은 고딕"/>
                <w:b w:val="0"/>
                <w:sz w:val="18"/>
              </w:rPr>
              <w:t>프리미엄 가격 가능</w:t>
            </w:r>
          </w:p>
        </w:tc>
      </w:tr>
    </w:tbl>
    <w:p>
      <w:pPr>
        <w:spacing w:line="396" w:lineRule="auto" w:after="140"/>
        <w:ind w:firstLine="454"/>
        <w:jc w:val="both"/>
        <w:widowControl w:val="1"/>
      </w:pPr>
      <w:r>
        <w:rPr>
          <w:rFonts w:ascii="맑은 고딕" w:hAnsi="맑은 고딕" w:eastAsia="맑은 고딕"/>
          <w:b w:val="0"/>
          <w:sz w:val="21"/>
        </w:rPr>
        <w:t>이 표에서 보듯 광고는 가격에 단일한 방향으로 작용하지 않는다. 따라서 정책적·경영적 평가에서는 광고비의 크기만 볼 것이 아니라 광고가 정보비대칭을 완화하는지, 판매량을 얼마나 확대하는지, 시장진입과 경쟁에 어떤 영향을 주는지를 함께 살펴야 한다. 특히 디지털 환경에서는 광고성과를 클릭률, 전환율, 고객획득비용 등으로 비교할 수 있어 기업이 비효율적인 광고를 계속 가격에 전가하기보다 성과가 낮은 광고를 조정할 가능성이 커졌다. 이는 광고비와 판매가격 간의 기계적 연결을 더욱 약화시키는 요인이다.</w:t>
      </w:r>
    </w:p>
    <w:p>
      <w:pPr>
        <w:pStyle w:val="Heading1"/>
        <w:widowControl w:val="1"/>
      </w:pPr>
      <w:r>
        <w:rPr>
          <w:rFonts w:ascii="맑은 고딕" w:hAnsi="맑은 고딕" w:eastAsia="맑은 고딕"/>
          <w:b/>
          <w:color w:val="1F3856"/>
          <w:sz w:val="30"/>
        </w:rPr>
        <w:t>Ⅲ. 결론</w:t>
      </w:r>
    </w:p>
    <w:p>
      <w:pPr>
        <w:spacing w:line="396" w:lineRule="auto" w:after="140"/>
        <w:ind w:firstLine="454"/>
        <w:jc w:val="both"/>
        <w:widowControl w:val="1"/>
      </w:pPr>
      <w:r>
        <w:rPr>
          <w:rFonts w:ascii="맑은 고딕" w:hAnsi="맑은 고딕" w:eastAsia="맑은 고딕"/>
          <w:b w:val="0"/>
          <w:sz w:val="21"/>
        </w:rPr>
        <w:t>본 과제는 광고가 생산단가와 상품가격을 높인다는 주장에 반대하는 입장에서 논증하였다. 광고비는 분명 기업이 부담하는 비용이지만, 그것이 곧바로 단위당 생산원가와 최종 판매가격의 상승으로 이어지는 것은 아니다. 광고는 수요를 확대하여 생산량을 증가시키고, 고정비 분산과 대량구매·물류 효율화를 통해 평균비용을 낮출 수 있다. 또한 가격과 제품 정보를 제공함으로써 소비자의 탐색비용을 줄이고 기업 간 비교를 쉽게 만들어 가격경쟁을 촉진할 수 있다.</w:t>
      </w:r>
    </w:p>
    <w:p>
      <w:pPr>
        <w:spacing w:line="396" w:lineRule="auto" w:after="140"/>
        <w:ind w:firstLine="454"/>
        <w:jc w:val="both"/>
        <w:widowControl w:val="1"/>
      </w:pPr>
      <w:r>
        <w:rPr>
          <w:rFonts w:ascii="맑은 고딕" w:hAnsi="맑은 고딕" w:eastAsia="맑은 고딕"/>
          <w:b w:val="0"/>
          <w:sz w:val="21"/>
        </w:rPr>
        <w:t>반면 설득형 광고가 브랜드 충성도와 차별화를 강화하면 기업이 프리미엄 가격을 설정할 가능성이 있다는 점도 인정해야 한다. 그러나 이는 특정 시장조건에서 나타나는 효과이며, 광고 자체가 모든 상품의 가격을 필연적으로 높인다는 근거는 되지 못한다. 광고의 경제적 효과는 정보 제공 정도, 시장의 경쟁강도, 제품의 차별화 가능성, 규모의 경제 존재 여부에 따라 달라진다.</w:t>
      </w:r>
    </w:p>
    <w:p>
      <w:pPr>
        <w:spacing w:line="396" w:lineRule="auto" w:after="140"/>
        <w:ind w:firstLine="454"/>
        <w:jc w:val="both"/>
        <w:widowControl w:val="1"/>
      </w:pPr>
      <w:r>
        <w:rPr>
          <w:rFonts w:ascii="맑은 고딕" w:hAnsi="맑은 고딕" w:eastAsia="맑은 고딕"/>
          <w:b w:val="0"/>
          <w:sz w:val="21"/>
        </w:rPr>
        <w:t>따라서 광고에 대한 합리적인 평가는 ‘광고비는 비용이므로 가격을 올린다’는 단순한 관점에서 벗어나야 한다. 소비자에게 유용한 정보를 제공하고 경쟁을 촉진하며 판매량 확대를 통해 평균비용을 낮추는 광고라면, 기업과 소비자 모두에게 효율성을 높이는 역할을 할 수 있다. 결론적으로 광고는 생산단가와 상품가격을 자동적으로 상승시키는 요인이 아니라, 시장의 구조와 기업의 전략에 따라 가격을 높일 수도 낮출 수도 있는 복합적인 경제활동으로 보는 것이 타당하다.</w:t>
      </w:r>
    </w:p>
    <w:p>
      <w:pPr>
        <w:pStyle w:val="Heading1"/>
        <w:widowControl w:val="1"/>
      </w:pPr>
      <w:r>
        <w:rPr>
          <w:rFonts w:ascii="맑은 고딕" w:hAnsi="맑은 고딕" w:eastAsia="맑은 고딕"/>
          <w:b/>
          <w:color w:val="1F3856"/>
          <w:sz w:val="30"/>
        </w:rPr>
        <w:t>Ⅳ. 참고문헌</w:t>
      </w:r>
    </w:p>
    <w:p>
      <w:pPr>
        <w:spacing w:after="120"/>
        <w:ind w:left="454" w:hanging="454"/>
        <w:widowControl w:val="1"/>
      </w:pPr>
      <w:r>
        <w:rPr>
          <w:rFonts w:ascii="맑은 고딕" w:hAnsi="맑은 고딕" w:eastAsia="맑은 고딕"/>
          <w:b w:val="0"/>
          <w:sz w:val="19"/>
        </w:rPr>
        <w:t>Bagwell, K. (2007). The economic analysis of advertising. In M. Armstrong &amp; R. Porter (Eds.), Handbook of Industrial Organization (Vol. 3, pp. 1701-1844). Elsevier.</w:t>
      </w:r>
    </w:p>
    <w:p>
      <w:pPr>
        <w:spacing w:after="120"/>
        <w:ind w:left="454" w:hanging="454"/>
        <w:widowControl w:val="1"/>
      </w:pPr>
      <w:r>
        <w:rPr>
          <w:rFonts w:ascii="맑은 고딕" w:hAnsi="맑은 고딕" w:eastAsia="맑은 고딕"/>
          <w:b w:val="0"/>
          <w:sz w:val="19"/>
        </w:rPr>
        <w:t>Kotler, P., &amp; Keller, K. L. (2016). Marketing Management (15th ed.). Pearson.</w:t>
      </w:r>
    </w:p>
    <w:p>
      <w:pPr>
        <w:spacing w:after="120"/>
        <w:ind w:left="454" w:hanging="454"/>
        <w:widowControl w:val="1"/>
      </w:pPr>
      <w:r>
        <w:rPr>
          <w:rFonts w:ascii="맑은 고딕" w:hAnsi="맑은 고딕" w:eastAsia="맑은 고딕"/>
          <w:b w:val="0"/>
          <w:sz w:val="19"/>
        </w:rPr>
        <w:t>Nelson, P. (1974). Advertising as information. Journal of Political Economy, 82(4), 729-754. https://doi.org/10.1086/260231</w:t>
      </w:r>
    </w:p>
    <w:p>
      <w:pPr>
        <w:spacing w:after="120"/>
        <w:ind w:left="454" w:hanging="454"/>
        <w:widowControl w:val="1"/>
      </w:pPr>
      <w:r>
        <w:rPr>
          <w:rFonts w:ascii="맑은 고딕" w:hAnsi="맑은 고딕" w:eastAsia="맑은 고딕"/>
          <w:b w:val="0"/>
          <w:sz w:val="19"/>
        </w:rPr>
        <w:t>Stigler, G. J. (1961). The economics of information. Journal of Political Economy, 69(3), 213-225. https://doi.org/10.1086/258464</w:t>
      </w:r>
    </w:p>
    <w:p>
      <w:pPr>
        <w:spacing w:before="160"/>
        <w:widowControl w:val="1"/>
      </w:pPr>
      <w:r>
        <w:rPr>
          <w:rFonts w:ascii="맑은 고딕" w:hAnsi="맑은 고딕" w:eastAsia="맑은 고딕"/>
          <w:b w:val="0"/>
          <w:color w:val="5F6973"/>
          <w:sz w:val="18"/>
        </w:rPr>
        <w:t>※ 본문은 위 문헌의 광고경제학 및 마케팅 개념을 바탕으로 학습용으로 재구성하였습니다.</w:t>
      </w:r>
    </w:p>
    <w:p>
      <w:pPr>
        <w:widowControl w:val="1"/>
      </w:pPr>
      <w:r>
        <w:br w:type="page"/>
      </w:r>
    </w:p>
    <w:p>
      <w:pPr>
        <w:spacing w:after="360"/>
        <w:jc w:val="center"/>
        <w:widowControl w:val="1"/>
      </w:pPr>
      <w:r>
        <w:rPr>
          <w:rFonts w:ascii="맑은 고딕" w:hAnsi="맑은 고딕" w:eastAsia="맑은 고딕"/>
          <w:b/>
          <w:color w:val="1F3856"/>
          <w:sz w:val="36"/>
        </w:rPr>
        <w:t>과제 참고용 샘플 안내</w:t>
      </w:r>
    </w:p>
    <w:tbl>
      <w:tblPr>
        <w:tblW w:type="auto" w:w="0"/>
        <w:jc w:val="center"/>
        <w:tblLook w:firstColumn="1" w:firstRow="1" w:lastColumn="0" w:lastRow="0" w:noHBand="0" w:noVBand="1" w:val="04A0"/>
      </w:tblPr>
      <w:tblGrid>
        <w:gridCol w:w="9360"/>
      </w:tblGrid>
      <w:tr>
        <w:tc>
          <w:tcPr>
            <w:tcW w:type="dxa" w:w="9360"/>
            <w:shd w:fill="FFF6E5"/>
            <w:tcBorders>
              <w:top w:val="single" w:sz="10" w:color="E1B85B"/>
              <w:left w:val="single" w:sz="10" w:color="E1B85B"/>
              <w:bottom w:val="single" w:sz="10" w:color="E1B85B"/>
              <w:right w:val="single" w:sz="10" w:color="E1B85B"/>
            </w:tcBorders>
          </w:tcPr>
          <w:p>
            <w:pPr>
              <w:spacing w:after="160"/>
            </w:pPr>
            <w:r>
              <w:rPr>
                <w:rFonts w:ascii="맑은 고딕" w:hAnsi="맑은 고딕" w:eastAsia="맑은 고딕"/>
                <w:b/>
                <w:color w:val="B2842D"/>
                <w:sz w:val="26"/>
              </w:rPr>
              <w:t>⚠️ 주의사항</w:t>
            </w:r>
          </w:p>
          <w:p>
            <w:pPr>
              <w:spacing w:after="60"/>
            </w:pPr>
            <w:r>
              <w:rPr>
                <w:rFonts w:ascii="맑은 고딕" w:hAnsi="맑은 고딕" w:eastAsia="맑은 고딕"/>
                <w:b w:val="0"/>
                <w:sz w:val="21"/>
              </w:rPr>
              <w:t>본 자료는 학점은행제 과제 참고용 샘플입니다.</w:t>
            </w:r>
          </w:p>
          <w:p>
            <w:pPr>
              <w:spacing w:after="60"/>
            </w:pPr>
            <w:r>
              <w:rPr>
                <w:rFonts w:ascii="맑은 고딕" w:hAnsi="맑은 고딕" w:eastAsia="맑은 고딕"/>
                <w:b w:val="0"/>
                <w:sz w:val="21"/>
              </w:rPr>
              <w:t>위 학습 자료를 그대로 제출할 경우 모사율(표절률)로 인하여</w:t>
            </w:r>
          </w:p>
          <w:p>
            <w:pPr>
              <w:spacing w:after="60"/>
            </w:pPr>
            <w:r>
              <w:rPr>
                <w:rFonts w:ascii="맑은 고딕" w:hAnsi="맑은 고딕" w:eastAsia="맑은 고딕"/>
                <w:b w:val="0"/>
                <w:sz w:val="21"/>
              </w:rPr>
              <w:t>성적 불이익 또는 해당 과목 0점 처리될 수 있습니다.</w:t>
            </w:r>
          </w:p>
          <w:p>
            <w:pPr>
              <w:spacing w:after="60"/>
            </w:pPr>
            <w:r>
              <w:rPr>
                <w:rFonts w:ascii="맑은 고딕" w:hAnsi="맑은 고딕" w:eastAsia="맑은 고딕"/>
                <w:b/>
                <w:sz w:val="21"/>
              </w:rPr>
              <w:t>반드시 본인의 언어로 수정·재작성하여 제출하시기 바랍니다.</w:t>
            </w:r>
          </w:p>
        </w:tc>
      </w:tr>
    </w:tbl>
    <w:p>
      <w:pPr>
        <w:spacing w:after="200"/>
        <w:widowControl w:val="1"/>
      </w:pPr>
    </w:p>
    <w:tbl>
      <w:tblPr>
        <w:tblW w:type="auto" w:w="0"/>
        <w:jc w:val="center"/>
        <w:tblLook w:firstColumn="1" w:firstRow="1" w:lastColumn="0" w:lastRow="0" w:noHBand="0" w:noVBand="1" w:val="04A0"/>
      </w:tblPr>
      <w:tblGrid>
        <w:gridCol w:w="9360"/>
      </w:tblGrid>
      <w:tr>
        <w:tc>
          <w:tcPr>
            <w:tcW w:type="dxa" w:w="9360"/>
            <w:shd w:fill="EEF4F0"/>
            <w:tcBorders>
              <w:top w:val="single" w:sz="8" w:color="8EAF9C"/>
              <w:left w:val="single" w:sz="8" w:color="8EAF9C"/>
              <w:bottom w:val="single" w:sz="8" w:color="8EAF9C"/>
              <w:right w:val="single" w:sz="8" w:color="8EAF9C"/>
            </w:tcBorders>
          </w:tcPr>
          <w:p>
            <w:r>
              <w:rPr>
                <w:rFonts w:ascii="맑은 고딕" w:hAnsi="맑은 고딕" w:eastAsia="맑은 고딕"/>
                <w:b/>
                <w:color w:val="1F3856"/>
                <w:sz w:val="26"/>
              </w:rPr>
              <w:t>📌 과제 수정이 어려우신가요?</w:t>
            </w:r>
          </w:p>
          <w:p>
            <w:pPr>
              <w:spacing w:after="80"/>
            </w:pPr>
            <w:r>
              <w:rPr>
                <w:rFonts w:ascii="맑은 고딕" w:hAnsi="맑은 고딕" w:eastAsia="맑은 고딕"/>
                <w:b w:val="0"/>
                <w:sz w:val="21"/>
              </w:rPr>
              <w:t>국민원격교육관리센터에서 1:1 과제 수정 도움을 드립니다.</w:t>
            </w:r>
          </w:p>
          <w:p>
            <w:pPr>
              <w:spacing w:after="80"/>
            </w:pPr>
            <w:r>
              <w:rPr>
                <w:rFonts w:ascii="맑은 고딕" w:hAnsi="맑은 고딕" w:eastAsia="맑은 고딕"/>
                <w:b w:val="0"/>
                <w:sz w:val="21"/>
              </w:rPr>
              <w:t>아래 연락처로 문의해 주세요.</w:t>
            </w:r>
          </w:p>
          <w:p>
            <w:pPr>
              <w:spacing w:after="80"/>
            </w:pPr>
            <w:r>
              <w:rPr>
                <w:rFonts w:ascii="맑은 고딕" w:hAnsi="맑은 고딕" w:eastAsia="맑은 고딕"/>
                <w:b w:val="0"/>
                <w:sz w:val="21"/>
              </w:rPr>
            </w:r>
          </w:p>
          <w:p>
            <w:pPr>
              <w:spacing w:after="80"/>
            </w:pPr>
            <w:r>
              <w:rPr>
                <w:rFonts w:ascii="맑은 고딕" w:hAnsi="맑은 고딕" w:eastAsia="맑은 고딕"/>
                <w:b/>
                <w:sz w:val="21"/>
              </w:rPr>
              <w:t>📞 전화: 050-7878-7044</w:t>
            </w:r>
          </w:p>
          <w:p>
            <w:pPr>
              <w:spacing w:after="80"/>
            </w:pPr>
            <w:r>
              <w:rPr>
                <w:rFonts w:ascii="맑은 고딕" w:hAnsi="맑은 고딕" w:eastAsia="맑은 고딕"/>
                <w:b/>
                <w:sz w:val="21"/>
              </w:rPr>
              <w:t>💬 카카오톡: @국민원격교육관리센터</w:t>
            </w:r>
          </w:p>
          <w:p>
            <w:pPr>
              <w:spacing w:after="80"/>
            </w:pPr>
            <w:r>
              <w:rPr>
                <w:rFonts w:ascii="맑은 고딕" w:hAnsi="맑은 고딕" w:eastAsia="맑은 고딕"/>
                <w:b w:val="0"/>
                <w:sz w:val="21"/>
              </w:rPr>
              <w:t>🕐 운영시간: 평일 10:00–19:00</w:t>
            </w:r>
          </w:p>
          <w:p>
            <w:pPr>
              <w:spacing w:after="80"/>
            </w:pPr>
            <w:r>
              <w:rPr>
                <w:rFonts w:ascii="맑은 고딕" w:hAnsi="맑은 고딕" w:eastAsia="맑은 고딕"/>
                <w:b w:val="0"/>
                <w:sz w:val="21"/>
              </w:rPr>
              <w:t>🌐 웹사이트: korealms.co.kr</w:t>
            </w:r>
          </w:p>
        </w:tc>
      </w:tr>
    </w:tbl>
    <w:sectPr w:rsidR="00FC693F" w:rsidRPr="0006063C" w:rsidSect="00034616">
      <w:footerReference w:type="default" r:id="rId9"/>
      <w:pgSz w:w="12240" w:h="15840"/>
      <w:pgMar w:top="1440" w:right="1440" w:bottom="1440" w:left="1440" w:header="68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맑은 고딕" w:hAnsi="맑은 고딕" w:eastAsia="맑은 고딕"/>
        <w:b w:val="0"/>
        <w:color w:val="5F6973"/>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120"/>
    </w:pPr>
    <w:rPr>
      <w:rFonts w:ascii="맑은 고딕" w:hAnsi="맑은 고딕"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60"/>
      <w:outlineLvl w:val="0"/>
    </w:pPr>
    <w:rPr>
      <w:rFonts w:asciiTheme="majorHAnsi" w:eastAsiaTheme="majorEastAsia" w:hAnsiTheme="majorHAnsi" w:cstheme="majorBidi" w:ascii="맑은 고딕" w:hAnsi="맑은 고딕" w:eastAsia="맑은 고딕"/>
      <w:b/>
      <w:bCs/>
      <w:color w:val="1F3856"/>
      <w:sz w:val="30"/>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맑은 고딕" w:hAnsi="맑은 고딕" w:eastAsia="맑은 고딕"/>
      <w:b/>
      <w:bCs/>
      <w:color w:val="3A5F8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맑은 고딕" w:hAnsi="맑은 고딕" w:eastAsia="맑은 고딕"/>
      <w:b/>
      <w:color w:val="1F3856"/>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