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100"/>
        <w:jc w:val="center"/>
      </w:pPr>
      <w:r>
        <w:rPr>
          <w:rFonts w:ascii="Malgun Gothic" w:hAnsi="Malgun Gothic" w:eastAsia="Malgun Gothic"/>
          <w:b/>
          <w:color w:val="17324D"/>
          <w:sz w:val="48"/>
        </w:rPr>
        <w:t>재 무 관 리</w:t>
      </w:r>
    </w:p>
    <w:p>
      <w:pPr>
        <w:spacing w:before="400"/>
        <w:jc w:val="center"/>
      </w:pPr>
      <w:r>
        <w:rPr>
          <w:rFonts w:ascii="Malgun Gothic" w:hAnsi="Malgun Gothic" w:eastAsia="Malgun Gothic"/>
          <w:b/>
          <w:color w:val="2D4155"/>
          <w:sz w:val="34"/>
        </w:rPr>
        <w:t>화폐의 시간가치와 현금흐름의 개념을 설명하고</w:t>
        <w:br/>
        <w:t>재무의사결정 사례에 적용</w:t>
      </w:r>
    </w:p>
    <w:p>
      <w:pPr>
        <w:spacing w:before="800"/>
        <w:jc w:val="center"/>
      </w:pPr>
      <w:r>
        <w:rPr>
          <w:rFonts w:ascii="Malgun Gothic" w:hAnsi="Malgun Gothic" w:eastAsia="Malgun Gothic"/>
          <w:b/>
          <w:color w:val="4F8A6D"/>
          <w:sz w:val="22"/>
        </w:rPr>
        <w:t>과제 참고용 샘플</w:t>
      </w:r>
    </w:p>
    <w:tbl>
      <w:tblPr>
        <w:tblW w:type="auto" w:w="0"/>
        <w:jc w:val="center"/>
        <w:tblLayout w:type="fixed"/>
        <w:tblLook w:firstColumn="1" w:firstRow="1" w:lastColumn="0" w:lastRow="0" w:noHBand="0" w:noVBand="1" w:val="04A0"/>
      </w:tblPr>
      <w:tblGrid>
        <w:gridCol w:w="1584"/>
        <w:gridCol w:w="4608"/>
      </w:tblGrid>
      <w:tr>
        <w:tc>
          <w:tcPr>
            <w:tcW w:type="dxa" w:w="4824"/>
            <w:vAlign w:val="center"/>
            <w:shd w:fill="F2F5F3"/>
            <w:tcBorders>
              <w:bottom w:val="single" w:sz="4" w:color="D5DAD7"/>
            </w:tcBorders>
          </w:tcPr>
          <w:p>
            <w:pPr>
              <w:spacing w:after="0"/>
              <w:jc w:val="center"/>
            </w:pPr>
            <w:r>
              <w:rPr>
                <w:rFonts w:ascii="Malgun Gothic" w:hAnsi="Malgun Gothic" w:eastAsia="Malgun Gothic"/>
                <w:b/>
                <w:sz w:val="20"/>
              </w:rPr>
              <w:t>제출일</w:t>
            </w:r>
          </w:p>
        </w:tc>
        <w:tc>
          <w:tcPr>
            <w:tcW w:type="dxa" w:w="4824"/>
            <w:vAlign w:val="center"/>
            <w:tcBorders>
              <w:bottom w:val="single" w:sz="4" w:color="D5DAD7"/>
            </w:tcBorders>
          </w:tcPr>
          <w:p>
            <w:pPr>
              <w:spacing w:after="0"/>
              <w:jc w:val="left"/>
            </w:pPr>
            <w:r>
              <w:rPr>
                <w:rFonts w:ascii="Malgun Gothic" w:hAnsi="Malgun Gothic" w:eastAsia="Malgun Gothic"/>
                <w:b w:val="0"/>
                <w:sz w:val="20"/>
              </w:rPr>
              <w:t>________________________</w:t>
            </w:r>
          </w:p>
        </w:tc>
      </w:tr>
      <w:tr>
        <w:tc>
          <w:tcPr>
            <w:tcW w:type="dxa" w:w="4824"/>
            <w:vAlign w:val="center"/>
            <w:shd w:fill="F2F5F3"/>
            <w:tcBorders>
              <w:bottom w:val="single" w:sz="4" w:color="D5DAD7"/>
            </w:tcBorders>
          </w:tcPr>
          <w:p>
            <w:pPr>
              <w:spacing w:after="0"/>
              <w:jc w:val="center"/>
            </w:pPr>
            <w:r>
              <w:rPr>
                <w:rFonts w:ascii="Malgun Gothic" w:hAnsi="Malgun Gothic" w:eastAsia="Malgun Gothic"/>
                <w:b/>
                <w:sz w:val="20"/>
              </w:rPr>
              <w:t>제출자</w:t>
            </w:r>
          </w:p>
        </w:tc>
        <w:tc>
          <w:tcPr>
            <w:tcW w:type="dxa" w:w="4824"/>
            <w:vAlign w:val="center"/>
            <w:tcBorders>
              <w:bottom w:val="single" w:sz="4" w:color="D5DAD7"/>
            </w:tcBorders>
          </w:tcPr>
          <w:p>
            <w:pPr>
              <w:spacing w:after="0"/>
              <w:jc w:val="left"/>
            </w:pPr>
            <w:r>
              <w:rPr>
                <w:rFonts w:ascii="Malgun Gothic" w:hAnsi="Malgun Gothic" w:eastAsia="Malgun Gothic"/>
                <w:b w:val="0"/>
                <w:sz w:val="20"/>
              </w:rPr>
              <w:t>________________________</w:t>
            </w:r>
          </w:p>
        </w:tc>
      </w:tr>
    </w:tbl>
    <w:p>
      <w:pPr>
        <w:spacing w:before="700"/>
        <w:jc w:val="left"/>
      </w:pPr>
      <w:r>
        <w:rPr>
          <w:rFonts w:ascii="Malgun Gothic" w:hAnsi="Malgun Gothic" w:eastAsia="Malgun Gothic"/>
          <w:b/>
          <w:color w:val="17324D"/>
          <w:sz w:val="28"/>
        </w:rPr>
        <w:t>목차</w:t>
      </w:r>
    </w:p>
    <w:p>
      <w:pPr>
        <w:spacing w:after="40"/>
        <w:ind w:left="72"/>
      </w:pPr>
      <w:r>
        <w:rPr>
          <w:rFonts w:ascii="Malgun Gothic" w:hAnsi="Malgun Gothic" w:eastAsia="Malgun Gothic"/>
          <w:sz w:val="21"/>
        </w:rPr>
        <w:t>Ⅰ. 서론</w:t>
      </w:r>
    </w:p>
    <w:p>
      <w:pPr>
        <w:spacing w:after="40"/>
        <w:ind w:left="72"/>
      </w:pPr>
      <w:r>
        <w:rPr>
          <w:rFonts w:ascii="Malgun Gothic" w:hAnsi="Malgun Gothic" w:eastAsia="Malgun Gothic"/>
          <w:sz w:val="21"/>
        </w:rPr>
        <w:t>Ⅱ. 본론</w:t>
      </w:r>
    </w:p>
    <w:p>
      <w:pPr>
        <w:spacing w:after="40"/>
        <w:ind w:left="432"/>
      </w:pPr>
      <w:r>
        <w:rPr>
          <w:rFonts w:ascii="Malgun Gothic" w:hAnsi="Malgun Gothic" w:eastAsia="Malgun Gothic"/>
          <w:sz w:val="21"/>
        </w:rPr>
        <w:t>1. 화폐의 시간가치의 개념과 계산</w:t>
      </w:r>
    </w:p>
    <w:p>
      <w:pPr>
        <w:spacing w:after="40"/>
        <w:ind w:left="432"/>
      </w:pPr>
      <w:r>
        <w:rPr>
          <w:rFonts w:ascii="Malgun Gothic" w:hAnsi="Malgun Gothic" w:eastAsia="Malgun Gothic"/>
          <w:sz w:val="21"/>
        </w:rPr>
        <w:t>2. 현금흐름의 개념과 유형</w:t>
      </w:r>
    </w:p>
    <w:p>
      <w:pPr>
        <w:spacing w:after="40"/>
        <w:ind w:left="432"/>
      </w:pPr>
      <w:r>
        <w:rPr>
          <w:rFonts w:ascii="Malgun Gothic" w:hAnsi="Malgun Gothic" w:eastAsia="Malgun Gothic"/>
          <w:sz w:val="21"/>
        </w:rPr>
        <w:t>3. 재무의사결정의 평가기준</w:t>
      </w:r>
    </w:p>
    <w:p>
      <w:pPr>
        <w:spacing w:after="40"/>
        <w:ind w:left="432"/>
      </w:pPr>
      <w:r>
        <w:rPr>
          <w:rFonts w:ascii="Malgun Gothic" w:hAnsi="Malgun Gothic" w:eastAsia="Malgun Gothic"/>
          <w:sz w:val="21"/>
        </w:rPr>
        <w:t>4. 투자안 평가 사례 적용</w:t>
      </w:r>
    </w:p>
    <w:p>
      <w:pPr>
        <w:spacing w:after="40"/>
        <w:ind w:left="432"/>
      </w:pPr>
      <w:r>
        <w:rPr>
          <w:rFonts w:ascii="Malgun Gothic" w:hAnsi="Malgun Gothic" w:eastAsia="Malgun Gothic"/>
          <w:sz w:val="21"/>
        </w:rPr>
        <w:t>5. 화폐의 시간가치와 현금흐름 활용의 시사점</w:t>
      </w:r>
    </w:p>
    <w:p>
      <w:pPr>
        <w:spacing w:after="40"/>
        <w:ind w:left="72"/>
      </w:pPr>
      <w:r>
        <w:rPr>
          <w:rFonts w:ascii="Malgun Gothic" w:hAnsi="Malgun Gothic" w:eastAsia="Malgun Gothic"/>
          <w:sz w:val="21"/>
        </w:rPr>
        <w:t>Ⅲ. 결론</w:t>
      </w:r>
    </w:p>
    <w:p>
      <w:pPr>
        <w:spacing w:after="40"/>
        <w:ind w:left="72"/>
      </w:pPr>
      <w:r>
        <w:rPr>
          <w:rFonts w:ascii="Malgun Gothic" w:hAnsi="Malgun Gothic" w:eastAsia="Malgun Gothic"/>
          <w:sz w:val="21"/>
        </w:rPr>
        <w:t>Ⅳ. 참고문헌</w:t>
      </w:r>
    </w:p>
    <w:p>
      <w:r>
        <w:br w:type="page"/>
      </w:r>
    </w:p>
    <w:p>
      <w:pPr>
        <w:pStyle w:val="Heading1"/>
        <w:spacing w:before="240" w:after="140"/>
      </w:pPr>
      <w:r>
        <w:rPr>
          <w:rFonts w:ascii="Malgun Gothic" w:hAnsi="Malgun Gothic" w:eastAsia="Malgun Gothic"/>
          <w:b/>
          <w:color w:val="17324D"/>
          <w:sz w:val="30"/>
        </w:rPr>
        <w:t>Ⅰ. 서론</w:t>
      </w:r>
    </w:p>
    <w:p>
      <w:pPr>
        <w:spacing w:line="372" w:lineRule="auto" w:after="140"/>
        <w:ind w:firstLine="389"/>
        <w:jc w:val="both"/>
      </w:pPr>
      <w:r>
        <w:rPr>
          <w:rFonts w:ascii="Malgun Gothic" w:hAnsi="Malgun Gothic" w:eastAsia="Malgun Gothic"/>
          <w:sz w:val="21"/>
        </w:rPr>
        <w:t>재무관리는 기업이나 개인이 한정된 자금을 어떻게 조달하고 운용할 것인지 결정하는 과정이다. 이러한 의사결정의 핵심에는 “현재의 1원과 미래의 1원은 동일한 가치를 가지지 않는다”는 화폐의 시간가치 원리가 존재한다. 동일한 금액이라도 오늘 보유하고 있는 돈은 즉시 투자하여 수익을 얻을 수 있으며, 물가상승과 불확실성의 영향을 덜 받기 때문에 미래에 받는 같은 금액보다 경제적 가치가 크다. 따라서 장기간에 걸쳐 현금의 유입과 유출이 발생하는 투자, 대출, 자산구입, 기업가치 평가 등의 문제를 정확히 분석하기 위해서는 서로 다른 시점의 금액을 동일한 기준시점으로 환산해야 한다.</w:t>
      </w:r>
    </w:p>
    <w:p>
      <w:pPr>
        <w:spacing w:line="372" w:lineRule="auto" w:after="140"/>
        <w:ind w:firstLine="389"/>
        <w:jc w:val="both"/>
      </w:pPr>
      <w:r>
        <w:rPr>
          <w:rFonts w:ascii="Malgun Gothic" w:hAnsi="Malgun Gothic" w:eastAsia="Malgun Gothic"/>
          <w:sz w:val="21"/>
        </w:rPr>
        <w:t>화폐의 시간가치는 미래가치와 현재가치라는 두 가지 방향에서 이해할 수 있다. 미래가치는 현재 보유한 금액을 일정한 수익률로 운용했을 때 미래 어느 시점에 얼마가 되는지를 나타내며, 현재가치는 미래에 받을 금액을 일정한 할인율로 현재 시점에 환산한 값이다. 이때 수익률 또는 할인율은 단순한 계산변수가 아니라 자금을 다른 곳에 투자했을 때 포기하게 되는 기회비용과 위험을 반영하는 기준이 된다. 결과적으로 화폐의 시간가치는 재무의사결정에서 서로 다른 시점의 현금을 비교할 수 있게 하는 공통의 측정도구라고 할 수 있다.</w:t>
      </w:r>
    </w:p>
    <w:p>
      <w:pPr>
        <w:spacing w:line="372" w:lineRule="auto" w:after="140"/>
        <w:ind w:firstLine="389"/>
        <w:jc w:val="both"/>
      </w:pPr>
      <w:r>
        <w:rPr>
          <w:rFonts w:ascii="Malgun Gothic" w:hAnsi="Malgun Gothic" w:eastAsia="Malgun Gothic"/>
          <w:sz w:val="21"/>
        </w:rPr>
        <w:t>한편 재무의사결정은 회계상 이익만으로 판단하기 어렵다. 실제로 기업이 투자안을 채택하면 초기에는 설비구입이나 연구개발비 등으로 큰 현금유출이 발생하고, 이후 여러 기간에 걸쳐 매출 증가나 비용 절감으로 현금유입이 나타난다. 재무관리에서는 이러한 현금의 발생 시점과 규모를 현금흐름으로 파악하고, 이를 적절한 할인율로 할인하여 투자안의 경제성을 평가한다. 본 과제에서는 먼저 화폐의 시간가치와 현금흐름의 개념을 정리하고, 대표적인 투자안 평가기법인 순현재가치법을 중심으로 구체적인 재무의사결정 사례에 적용해 보고자 한다.</w:t>
      </w:r>
    </w:p>
    <w:p>
      <w:pPr>
        <w:pStyle w:val="Heading1"/>
        <w:spacing w:before="240" w:after="140"/>
      </w:pPr>
      <w:r>
        <w:rPr>
          <w:rFonts w:ascii="Malgun Gothic" w:hAnsi="Malgun Gothic" w:eastAsia="Malgun Gothic"/>
          <w:b/>
          <w:color w:val="17324D"/>
          <w:sz w:val="30"/>
        </w:rPr>
        <w:t>Ⅱ. 본론</w:t>
      </w:r>
    </w:p>
    <w:p>
      <w:pPr>
        <w:pStyle w:val="Heading2"/>
        <w:spacing w:before="180" w:after="140"/>
      </w:pPr>
      <w:r>
        <w:rPr>
          <w:rFonts w:ascii="Malgun Gothic" w:hAnsi="Malgun Gothic" w:eastAsia="Malgun Gothic"/>
          <w:b/>
          <w:color w:val="4F8A6D"/>
          <w:sz w:val="25"/>
        </w:rPr>
        <w:t>1. 화폐의 시간가치의 개념과 계산</w:t>
      </w:r>
    </w:p>
    <w:p>
      <w:pPr>
        <w:spacing w:line="372" w:lineRule="auto" w:after="140"/>
        <w:ind w:firstLine="389"/>
        <w:jc w:val="both"/>
      </w:pPr>
      <w:r>
        <w:rPr>
          <w:rFonts w:ascii="Malgun Gothic" w:hAnsi="Malgun Gothic" w:eastAsia="Malgun Gothic"/>
          <w:sz w:val="21"/>
        </w:rPr>
        <w:t>화폐의 시간가치는 현재의 화폐가 미래의 동일한 명목금액보다 더 높은 가치를 가진다는 원리를 의미한다. 그 이유는 첫째, 현재의 화폐를 예금이나 사업에 투자하면 이자를 포함한 수익을 얻을 수 있기 때문이다. 둘째, 미래에는 물가가 상승하여 동일한 금액으로 구입할 수 있는 재화와 서비스의 양이 감소할 수 있다. 셋째, 미래의 현금은 지급불이행, 경기변동, 시장위험 등 불확실성에 노출되어 있으므로 확실하게 보유하고 있는 현재의 현금보다 가치가 낮게 평가된다. 이러한 요소를 하나의 비율로 반영한 것이 이자율 또는 할인율이다.</w:t>
      </w:r>
    </w:p>
    <w:p>
      <w:pPr>
        <w:spacing w:before="100" w:after="160"/>
        <w:jc w:val="center"/>
      </w:pPr>
      <w:r>
        <w:rPr>
          <w:rFonts w:ascii="Malgun Gothic" w:hAnsi="Malgun Gothic" w:eastAsia="Malgun Gothic"/>
          <w:b/>
          <w:color w:val="17324D"/>
          <w:sz w:val="22"/>
        </w:rPr>
        <w:t>미래가치(FV) = 현재가치(PV) × (1 + r)ⁿ</w:t>
      </w:r>
    </w:p>
    <w:p>
      <w:pPr>
        <w:spacing w:before="100" w:after="160"/>
        <w:jc w:val="center"/>
      </w:pPr>
      <w:r>
        <w:rPr>
          <w:rFonts w:ascii="Malgun Gothic" w:hAnsi="Malgun Gothic" w:eastAsia="Malgun Gothic"/>
          <w:b/>
          <w:color w:val="17324D"/>
          <w:sz w:val="22"/>
        </w:rPr>
        <w:t>현재가치(PV) = 미래가치(FV) ÷ (1 + r)ⁿ</w:t>
      </w:r>
    </w:p>
    <w:p>
      <w:pPr>
        <w:spacing w:line="372" w:lineRule="auto" w:after="140"/>
        <w:ind w:firstLine="389"/>
        <w:jc w:val="both"/>
      </w:pPr>
      <w:r>
        <w:rPr>
          <w:rFonts w:ascii="Malgun Gothic" w:hAnsi="Malgun Gothic" w:eastAsia="Malgun Gothic"/>
          <w:sz w:val="21"/>
        </w:rPr>
        <w:t>예를 들어 현재 1,000만 원을 연 5%의 수익률로 3년 동안 운용한다면 미래가치는 1,000만 원×(1.05)³으로 약 1,157만 6,250원이 된다. 반대로 3년 후 1,157만 6,250원을 받을 권리가 있고 적정 할인율이 연 5%라면 그 권리의 현재가치는 약 1,000만 원이다. 이 계산은 단순한 이자계산을 넘어 서로 다른 시점에 발생하는 금액을 동일한 시점으로 바꾸어 비교하는 기능을 한다. 특히 장기 투자일수록 복리효과가 누적되기 때문에 시간과 할인율의 작은 차이가 평가 결과에 큰 영향을 줄 수 있다.</w:t>
      </w:r>
    </w:p>
    <w:p>
      <w:pPr>
        <w:pStyle w:val="Heading2"/>
        <w:spacing w:before="180" w:after="140"/>
      </w:pPr>
      <w:r>
        <w:rPr>
          <w:rFonts w:ascii="Malgun Gothic" w:hAnsi="Malgun Gothic" w:eastAsia="Malgun Gothic"/>
          <w:b/>
          <w:color w:val="4F8A6D"/>
          <w:sz w:val="25"/>
        </w:rPr>
        <w:t>2. 현금흐름의 개념과 유형</w:t>
      </w:r>
    </w:p>
    <w:p>
      <w:pPr>
        <w:spacing w:line="372" w:lineRule="auto" w:after="140"/>
        <w:ind w:firstLine="389"/>
        <w:jc w:val="both"/>
      </w:pPr>
      <w:r>
        <w:rPr>
          <w:rFonts w:ascii="Malgun Gothic" w:hAnsi="Malgun Gothic" w:eastAsia="Malgun Gothic"/>
          <w:sz w:val="21"/>
        </w:rPr>
        <w:t>현금흐름(cash flow)이란 일정 기간 동안 기업이나 투자대상으로 실제 현금이 유입되거나 유출되는 흐름을 의미한다. 재무관리에서는 손익계산서의 회계이익보다 현금흐름을 중시한다. 회계이익에는 감가상각비처럼 현금지출을 수반하지 않는 비용이 포함될 수 있고, 외상매출처럼 매출이 인식되었지만 실제 현금이 아직 들어오지 않은 항목도 존재하기 때문이다. 투자안의 가치는 최종적으로 투자자가 실제로 사용할 수 있는 현금이 얼마나, 언제 발생하는가에 따라 결정된다.</w:t>
      </w:r>
    </w:p>
    <w:tbl>
      <w:tblPr>
        <w:tblStyle w:val="TableGrid"/>
        <w:tblW w:type="auto" w:w="0"/>
        <w:jc w:val="center"/>
        <w:tblLayout w:type="fixed"/>
        <w:tblLook w:firstColumn="1" w:firstRow="1" w:lastColumn="0" w:lastRow="0" w:noHBand="0" w:noVBand="1" w:val="04A0"/>
      </w:tblPr>
      <w:tblGrid>
        <w:gridCol w:w="3216"/>
        <w:gridCol w:w="3216"/>
        <w:gridCol w:w="3216"/>
      </w:tblGrid>
      <w:tr>
        <w:tc>
          <w:tcPr>
            <w:tcW w:type="dxa" w:w="3216"/>
            <w:vAlign w:val="center"/>
            <w:shd w:fill="DDEBE3"/>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sz w:val="19"/>
              </w:rPr>
              <w:t>구분</w:t>
            </w:r>
          </w:p>
        </w:tc>
        <w:tc>
          <w:tcPr>
            <w:tcW w:type="dxa" w:w="3216"/>
            <w:vAlign w:val="center"/>
            <w:shd w:fill="DDEBE3"/>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sz w:val="19"/>
              </w:rPr>
              <w:t>주요 내용</w:t>
            </w:r>
          </w:p>
        </w:tc>
        <w:tc>
          <w:tcPr>
            <w:tcW w:type="dxa" w:w="3216"/>
            <w:vAlign w:val="center"/>
            <w:shd w:fill="DDEBE3"/>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sz w:val="19"/>
              </w:rPr>
              <w:t>대표 사례</w:t>
            </w:r>
          </w:p>
        </w:tc>
      </w:tr>
      <w:tr>
        <w:tc>
          <w:tcPr>
            <w:tcW w:type="dxa" w:w="3216"/>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초기 현금흐름</w:t>
            </w:r>
          </w:p>
        </w:tc>
        <w:tc>
          <w:tcPr>
            <w:tcW w:type="dxa" w:w="3216"/>
            <w:vAlign w:val="center"/>
            <w:tcBorders>
              <w:top w:val="single" w:sz="4" w:color="B7C2BB"/>
              <w:left w:val="single" w:sz="4" w:color="B7C2BB"/>
              <w:bottom w:val="single" w:sz="4" w:color="B7C2BB"/>
              <w:right w:val="single" w:sz="4" w:color="B7C2BB"/>
            </w:tcBorders>
          </w:tcPr>
          <w:p>
            <w:pPr>
              <w:spacing w:after="0"/>
              <w:jc w:val="left"/>
            </w:pPr>
            <w:r>
              <w:rPr>
                <w:rFonts w:ascii="Malgun Gothic" w:hAnsi="Malgun Gothic" w:eastAsia="Malgun Gothic"/>
                <w:b w:val="0"/>
                <w:sz w:val="18"/>
              </w:rPr>
              <w:t>투자 시작 시점에 발생하는 순현금유출</w:t>
            </w:r>
          </w:p>
        </w:tc>
        <w:tc>
          <w:tcPr>
            <w:tcW w:type="dxa" w:w="3216"/>
            <w:vAlign w:val="center"/>
            <w:tcBorders>
              <w:top w:val="single" w:sz="4" w:color="B7C2BB"/>
              <w:left w:val="single" w:sz="4" w:color="B7C2BB"/>
              <w:bottom w:val="single" w:sz="4" w:color="B7C2BB"/>
              <w:right w:val="single" w:sz="4" w:color="B7C2BB"/>
            </w:tcBorders>
          </w:tcPr>
          <w:p>
            <w:pPr>
              <w:spacing w:after="0"/>
              <w:jc w:val="left"/>
            </w:pPr>
            <w:r>
              <w:rPr>
                <w:rFonts w:ascii="Malgun Gothic" w:hAnsi="Malgun Gothic" w:eastAsia="Malgun Gothic"/>
                <w:b w:val="0"/>
                <w:sz w:val="18"/>
              </w:rPr>
              <w:t>기계·설비 구입비, 설치비, 초기 운전자본</w:t>
            </w:r>
          </w:p>
        </w:tc>
      </w:tr>
      <w:tr>
        <w:tc>
          <w:tcPr>
            <w:tcW w:type="dxa" w:w="3216"/>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영업 현금흐름</w:t>
            </w:r>
          </w:p>
        </w:tc>
        <w:tc>
          <w:tcPr>
            <w:tcW w:type="dxa" w:w="3216"/>
            <w:vAlign w:val="center"/>
            <w:tcBorders>
              <w:top w:val="single" w:sz="4" w:color="B7C2BB"/>
              <w:left w:val="single" w:sz="4" w:color="B7C2BB"/>
              <w:bottom w:val="single" w:sz="4" w:color="B7C2BB"/>
              <w:right w:val="single" w:sz="4" w:color="B7C2BB"/>
            </w:tcBorders>
          </w:tcPr>
          <w:p>
            <w:pPr>
              <w:spacing w:after="0"/>
              <w:jc w:val="left"/>
            </w:pPr>
            <w:r>
              <w:rPr>
                <w:rFonts w:ascii="Malgun Gothic" w:hAnsi="Malgun Gothic" w:eastAsia="Malgun Gothic"/>
                <w:b w:val="0"/>
                <w:sz w:val="18"/>
              </w:rPr>
              <w:t>투자 운영 중 반복적으로 발생하는 순현금유입</w:t>
            </w:r>
          </w:p>
        </w:tc>
        <w:tc>
          <w:tcPr>
            <w:tcW w:type="dxa" w:w="3216"/>
            <w:vAlign w:val="center"/>
            <w:tcBorders>
              <w:top w:val="single" w:sz="4" w:color="B7C2BB"/>
              <w:left w:val="single" w:sz="4" w:color="B7C2BB"/>
              <w:bottom w:val="single" w:sz="4" w:color="B7C2BB"/>
              <w:right w:val="single" w:sz="4" w:color="B7C2BB"/>
            </w:tcBorders>
          </w:tcPr>
          <w:p>
            <w:pPr>
              <w:spacing w:after="0"/>
              <w:jc w:val="left"/>
            </w:pPr>
            <w:r>
              <w:rPr>
                <w:rFonts w:ascii="Malgun Gothic" w:hAnsi="Malgun Gothic" w:eastAsia="Malgun Gothic"/>
                <w:b w:val="0"/>
                <w:sz w:val="18"/>
              </w:rPr>
              <w:t>매출 증가, 현금성 비용 절감, 세금 효과</w:t>
            </w:r>
          </w:p>
        </w:tc>
      </w:tr>
      <w:tr>
        <w:tc>
          <w:tcPr>
            <w:tcW w:type="dxa" w:w="3216"/>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종료 현금흐름</w:t>
            </w:r>
          </w:p>
        </w:tc>
        <w:tc>
          <w:tcPr>
            <w:tcW w:type="dxa" w:w="3216"/>
            <w:vAlign w:val="center"/>
            <w:tcBorders>
              <w:top w:val="single" w:sz="4" w:color="B7C2BB"/>
              <w:left w:val="single" w:sz="4" w:color="B7C2BB"/>
              <w:bottom w:val="single" w:sz="4" w:color="B7C2BB"/>
              <w:right w:val="single" w:sz="4" w:color="B7C2BB"/>
            </w:tcBorders>
          </w:tcPr>
          <w:p>
            <w:pPr>
              <w:spacing w:after="0"/>
              <w:jc w:val="left"/>
            </w:pPr>
            <w:r>
              <w:rPr>
                <w:rFonts w:ascii="Malgun Gothic" w:hAnsi="Malgun Gothic" w:eastAsia="Malgun Gothic"/>
                <w:b w:val="0"/>
                <w:sz w:val="18"/>
              </w:rPr>
              <w:t>사업 또는 자산 종료 시 발생하는 추가 현금흐름</w:t>
            </w:r>
          </w:p>
        </w:tc>
        <w:tc>
          <w:tcPr>
            <w:tcW w:type="dxa" w:w="3216"/>
            <w:vAlign w:val="center"/>
            <w:tcBorders>
              <w:top w:val="single" w:sz="4" w:color="B7C2BB"/>
              <w:left w:val="single" w:sz="4" w:color="B7C2BB"/>
              <w:bottom w:val="single" w:sz="4" w:color="B7C2BB"/>
              <w:right w:val="single" w:sz="4" w:color="B7C2BB"/>
            </w:tcBorders>
          </w:tcPr>
          <w:p>
            <w:pPr>
              <w:spacing w:after="0"/>
              <w:jc w:val="left"/>
            </w:pPr>
            <w:r>
              <w:rPr>
                <w:rFonts w:ascii="Malgun Gothic" w:hAnsi="Malgun Gothic" w:eastAsia="Malgun Gothic"/>
                <w:b w:val="0"/>
                <w:sz w:val="18"/>
              </w:rPr>
              <w:t>잔존가치 회수, 운전자본 회수, 처분세금</w:t>
            </w:r>
          </w:p>
        </w:tc>
      </w:tr>
    </w:tbl>
    <w:p>
      <w:pPr>
        <w:spacing w:line="372" w:lineRule="auto" w:after="140"/>
        <w:ind w:firstLine="389"/>
        <w:jc w:val="both"/>
      </w:pPr>
      <w:r>
        <w:rPr>
          <w:rFonts w:ascii="Malgun Gothic" w:hAnsi="Malgun Gothic" w:eastAsia="Malgun Gothic"/>
          <w:sz w:val="21"/>
        </w:rPr>
        <w:t>현금흐름을 추정할 때에는 전체 현금흐름이 아니라 투자로 인해 새롭게 발생하는 증분현금흐름을 파악해야 한다. 이미 지출하여 회수할 수 없는 매몰원가는 투자안의 채택 여부와 관계없이 발생한 비용이므로 의사결정에서 제외한다. 반면 투자 때문에 기존 사업의 매출이 감소하는 잠식효과, 보유자산을 투자에 사용함으로써 포기하는 임대수익과 같은 기회비용은 포함해야 한다. 또한 감가상각비는 직접적인 현금유출은 아니지만 과세소득을 감소시켜 세금을 절감하는 효과가 있으므로 영업현금흐름 계산에서 간접적으로 반영된다.</w:t>
      </w:r>
    </w:p>
    <w:p>
      <w:pPr>
        <w:pStyle w:val="Heading2"/>
        <w:spacing w:before="180" w:after="140"/>
      </w:pPr>
      <w:r>
        <w:rPr>
          <w:rFonts w:ascii="Malgun Gothic" w:hAnsi="Malgun Gothic" w:eastAsia="Malgun Gothic"/>
          <w:b/>
          <w:color w:val="4F8A6D"/>
          <w:sz w:val="25"/>
        </w:rPr>
        <w:t>3. 재무의사결정의 평가기준</w:t>
      </w:r>
    </w:p>
    <w:p>
      <w:pPr>
        <w:spacing w:line="372" w:lineRule="auto" w:after="140"/>
        <w:ind w:firstLine="389"/>
        <w:jc w:val="both"/>
      </w:pPr>
      <w:r>
        <w:rPr>
          <w:rFonts w:ascii="Malgun Gothic" w:hAnsi="Malgun Gothic" w:eastAsia="Malgun Gothic"/>
          <w:sz w:val="21"/>
        </w:rPr>
        <w:t>재무의사결정에서 투자안을 평가하는 대표적인 방법으로는 회수기간법, 평균회계이익률법, 순현재가치법(NPV), 내부수익률법(IRR) 등이 있다. 이 가운데 화폐의 시간가치와 현금흐름을 가장 일관되게 반영하는 방법은 순현재가치법이다. 순현재가치란 투자안으로부터 기대되는 미래 현금유입의 현재가치 합계에서 초기 투자비용의 현재가치를 차감한 금액을 의미한다. NPV가 0보다 크다는 것은 투자안이 요구수익률을 충족하고도 추가적인 경제적 가치를 창출한다는 뜻이며, 상호배타적인 투자안 가운데 다른 조건이 동일하다면 NPV가 더 큰 안을 선택하는 것이 기업가치 극대화 원칙에 부합한다.</w:t>
      </w:r>
    </w:p>
    <w:p>
      <w:pPr>
        <w:spacing w:before="100" w:after="160"/>
        <w:jc w:val="center"/>
      </w:pPr>
      <w:r>
        <w:rPr>
          <w:rFonts w:ascii="Malgun Gothic" w:hAnsi="Malgun Gothic" w:eastAsia="Malgun Gothic"/>
          <w:b/>
          <w:color w:val="17324D"/>
          <w:sz w:val="22"/>
        </w:rPr>
        <w:t>NPV = Σ [CFₜ ÷ (1 + r)ᵗ] − 초기투자액</w:t>
      </w:r>
    </w:p>
    <w:p>
      <w:pPr>
        <w:spacing w:line="372" w:lineRule="auto" w:after="140"/>
        <w:ind w:firstLine="389"/>
        <w:jc w:val="both"/>
      </w:pPr>
      <w:r>
        <w:rPr>
          <w:rFonts w:ascii="Malgun Gothic" w:hAnsi="Malgun Gothic" w:eastAsia="Malgun Gothic"/>
          <w:sz w:val="21"/>
        </w:rPr>
        <w:t>할인율은 NPV 평가에서 중요한 역할을 한다. 할인율이 높아질수록 미래 현금흐름의 현재가치는 작아지며, 특히 먼 미래에 현금이 집중된 투자안의 가치는 크게 하락한다. 따라서 위험이 높은 투자안에는 상대적으로 높은 요구수익률을 적용하고, 안정적인 투자안에는 낮은 할인율을 적용하는 것이 일반적이다. 할인율을 임의로 낮게 설정하면 경제성이 과대평가될 수 있고, 지나치게 높게 설정하면 유망한 투자안이 배제될 수 있으므로 자본비용과 사업위험을 고려한 합리적 기준을 사용해야 한다.</w:t>
      </w:r>
    </w:p>
    <w:p>
      <w:pPr>
        <w:pStyle w:val="Heading2"/>
        <w:spacing w:before="180" w:after="140"/>
      </w:pPr>
      <w:r>
        <w:rPr>
          <w:rFonts w:ascii="Malgun Gothic" w:hAnsi="Malgun Gothic" w:eastAsia="Malgun Gothic"/>
          <w:b/>
          <w:color w:val="4F8A6D"/>
          <w:sz w:val="25"/>
        </w:rPr>
        <w:t>4. 투자안 평가 사례 적용</w:t>
      </w:r>
    </w:p>
    <w:p>
      <w:pPr>
        <w:spacing w:line="372" w:lineRule="auto" w:after="140"/>
        <w:ind w:firstLine="389"/>
        <w:jc w:val="both"/>
      </w:pPr>
      <w:r>
        <w:rPr>
          <w:rFonts w:ascii="Malgun Gothic" w:hAnsi="Malgun Gothic" w:eastAsia="Malgun Gothic"/>
          <w:sz w:val="21"/>
        </w:rPr>
        <w:t>가상의 제조기업 A사가 생산효율 향상을 위해 자동화 설비의 도입을 검토한다고 가정한다. 설비 구입과 설치에 필요한 초기 투자액은 5,000만 원이며, 설비 도입 후 4년 동안 매년 1,800만 원의 순현금유입이 발생할 것으로 예상한다. 4년 말에는 설비 처분으로 500만 원의 잔존가치를 회수할 수 있고, 회사가 적용하는 적정 할인율은 연 8%라고 가정한다. 이 경우 각 연도의 현금흐름을 현재가치로 환산하여 순현재가치를 계산할 수 있다.</w:t>
      </w:r>
    </w:p>
    <w:tbl>
      <w:tblPr>
        <w:tblStyle w:val="TableGrid"/>
        <w:tblW w:type="auto" w:w="0"/>
        <w:jc w:val="center"/>
        <w:tblLayout w:type="fixed"/>
        <w:tblLook w:firstColumn="1" w:firstRow="1" w:lastColumn="0" w:lastRow="0" w:noHBand="0" w:noVBand="1" w:val="04A0"/>
      </w:tblPr>
      <w:tblGrid>
        <w:gridCol w:w="2412"/>
        <w:gridCol w:w="2412"/>
        <w:gridCol w:w="2412"/>
        <w:gridCol w:w="2412"/>
      </w:tblGrid>
      <w:tr>
        <w:tc>
          <w:tcPr>
            <w:tcW w:type="dxa" w:w="2412"/>
            <w:vAlign w:val="center"/>
            <w:shd w:fill="DDEBE3"/>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sz w:val="18"/>
              </w:rPr>
              <w:t>시점</w:t>
            </w:r>
          </w:p>
        </w:tc>
        <w:tc>
          <w:tcPr>
            <w:tcW w:type="dxa" w:w="2412"/>
            <w:vAlign w:val="center"/>
            <w:shd w:fill="DDEBE3"/>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sz w:val="18"/>
              </w:rPr>
              <w:t>현금흐름(원)</w:t>
            </w:r>
          </w:p>
        </w:tc>
        <w:tc>
          <w:tcPr>
            <w:tcW w:type="dxa" w:w="2412"/>
            <w:vAlign w:val="center"/>
            <w:shd w:fill="DDEBE3"/>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sz w:val="18"/>
              </w:rPr>
              <w:t>할인계수(8%)</w:t>
            </w:r>
          </w:p>
        </w:tc>
        <w:tc>
          <w:tcPr>
            <w:tcW w:type="dxa" w:w="2412"/>
            <w:vAlign w:val="center"/>
            <w:shd w:fill="DDEBE3"/>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sz w:val="18"/>
              </w:rPr>
              <w:t>현재가치(원)</w:t>
            </w:r>
          </w:p>
        </w:tc>
      </w:tr>
      <w:tr>
        <w:tc>
          <w:tcPr>
            <w:tcW w:type="dxa" w:w="2412"/>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0년</w:t>
            </w:r>
          </w:p>
        </w:tc>
        <w:tc>
          <w:tcPr>
            <w:tcW w:type="dxa" w:w="2412"/>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-50,000,000</w:t>
            </w:r>
          </w:p>
        </w:tc>
        <w:tc>
          <w:tcPr>
            <w:tcW w:type="dxa" w:w="2412"/>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1.0000</w:t>
            </w:r>
          </w:p>
        </w:tc>
        <w:tc>
          <w:tcPr>
            <w:tcW w:type="dxa" w:w="2412"/>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-50,000,000</w:t>
            </w:r>
          </w:p>
        </w:tc>
      </w:tr>
      <w:tr>
        <w:tc>
          <w:tcPr>
            <w:tcW w:type="dxa" w:w="2412"/>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1년</w:t>
            </w:r>
          </w:p>
        </w:tc>
        <w:tc>
          <w:tcPr>
            <w:tcW w:type="dxa" w:w="2412"/>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18,000,000</w:t>
            </w:r>
          </w:p>
        </w:tc>
        <w:tc>
          <w:tcPr>
            <w:tcW w:type="dxa" w:w="2412"/>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0.9259</w:t>
            </w:r>
          </w:p>
        </w:tc>
        <w:tc>
          <w:tcPr>
            <w:tcW w:type="dxa" w:w="2412"/>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16,666,667</w:t>
            </w:r>
          </w:p>
        </w:tc>
      </w:tr>
      <w:tr>
        <w:tc>
          <w:tcPr>
            <w:tcW w:type="dxa" w:w="2412"/>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2년</w:t>
            </w:r>
          </w:p>
        </w:tc>
        <w:tc>
          <w:tcPr>
            <w:tcW w:type="dxa" w:w="2412"/>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18,000,000</w:t>
            </w:r>
          </w:p>
        </w:tc>
        <w:tc>
          <w:tcPr>
            <w:tcW w:type="dxa" w:w="2412"/>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0.8573</w:t>
            </w:r>
          </w:p>
        </w:tc>
        <w:tc>
          <w:tcPr>
            <w:tcW w:type="dxa" w:w="2412"/>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15,432,099</w:t>
            </w:r>
          </w:p>
        </w:tc>
      </w:tr>
      <w:tr>
        <w:tc>
          <w:tcPr>
            <w:tcW w:type="dxa" w:w="2412"/>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3년</w:t>
            </w:r>
          </w:p>
        </w:tc>
        <w:tc>
          <w:tcPr>
            <w:tcW w:type="dxa" w:w="2412"/>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18,000,000</w:t>
            </w:r>
          </w:p>
        </w:tc>
        <w:tc>
          <w:tcPr>
            <w:tcW w:type="dxa" w:w="2412"/>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0.7938</w:t>
            </w:r>
          </w:p>
        </w:tc>
        <w:tc>
          <w:tcPr>
            <w:tcW w:type="dxa" w:w="2412"/>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14,288,981</w:t>
            </w:r>
          </w:p>
        </w:tc>
      </w:tr>
      <w:tr>
        <w:tc>
          <w:tcPr>
            <w:tcW w:type="dxa" w:w="2412"/>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4년</w:t>
            </w:r>
          </w:p>
        </w:tc>
        <w:tc>
          <w:tcPr>
            <w:tcW w:type="dxa" w:w="2412"/>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23,000,000</w:t>
            </w:r>
          </w:p>
        </w:tc>
        <w:tc>
          <w:tcPr>
            <w:tcW w:type="dxa" w:w="2412"/>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0.7350</w:t>
            </w:r>
          </w:p>
        </w:tc>
        <w:tc>
          <w:tcPr>
            <w:tcW w:type="dxa" w:w="2412"/>
            <w:vAlign w:val="center"/>
            <w:tcBorders>
              <w:top w:val="single" w:sz="4" w:color="B7C2BB"/>
              <w:left w:val="single" w:sz="4" w:color="B7C2BB"/>
              <w:bottom w:val="single" w:sz="4" w:color="B7C2BB"/>
              <w:right w:val="single" w:sz="4" w:color="B7C2BB"/>
            </w:tcBorders>
          </w:tcPr>
          <w:p>
            <w:pPr>
              <w:spacing w:after="0"/>
              <w:jc w:val="center"/>
            </w:pPr>
            <w:r>
              <w:rPr>
                <w:rFonts w:ascii="Malgun Gothic" w:hAnsi="Malgun Gothic" w:eastAsia="Malgun Gothic"/>
                <w:b w:val="0"/>
                <w:sz w:val="18"/>
              </w:rPr>
              <w:t>16,905,686</w:t>
            </w:r>
          </w:p>
        </w:tc>
      </w:tr>
    </w:tbl>
    <w:p>
      <w:pPr>
        <w:spacing w:before="100" w:after="160"/>
        <w:jc w:val="center"/>
      </w:pPr>
      <w:r>
        <w:rPr>
          <w:rFonts w:ascii="Malgun Gothic" w:hAnsi="Malgun Gothic" w:eastAsia="Malgun Gothic"/>
          <w:b/>
          <w:color w:val="17324D"/>
          <w:sz w:val="22"/>
        </w:rPr>
        <w:t>NPV = -50,000,000 + 16,666,667 + 15,432,099 + 14,288,981 + 16,905,686 ≈ 13,293,433원</w:t>
      </w:r>
    </w:p>
    <w:p>
      <w:pPr>
        <w:spacing w:line="372" w:lineRule="auto" w:after="140"/>
        <w:ind w:firstLine="389"/>
        <w:jc w:val="both"/>
      </w:pPr>
      <w:r>
        <w:rPr>
          <w:rFonts w:ascii="Malgun Gothic" w:hAnsi="Malgun Gothic" w:eastAsia="Malgun Gothic"/>
          <w:sz w:val="21"/>
        </w:rPr>
        <w:t>계산 결과 순현재가치는 약 1,329만 원으로 양수이다. 이는 A사가 요구하는 8%의 수익률을 반영하고도 투자안이 약 1,329만 원의 추가가치를 창출할 것으로 예상된다는 의미이므로, 다른 전략적 제약이 없다면 설비투자를 채택하는 것이 합리적이다. 만약 단순히 4년간 유입되는 현금의 명목합계만 계산한다면 총 유입액은 7,700만 원으로 초기 투자액보다 2,700만 원 많아 보인다. 그러나 이러한 방식은 1년 후의 1,800만 원과 4년 후의 2,300만 원을 동일하게 취급한다는 한계가 있다. NPV는 각 현금흐름의 발생시점을 반영함으로써 보다 현실적인 경제성 평가를 가능하게 한다.</w:t>
      </w:r>
    </w:p>
    <w:p>
      <w:pPr>
        <w:spacing w:line="372" w:lineRule="auto" w:after="140"/>
        <w:ind w:firstLine="389"/>
        <w:jc w:val="both"/>
      </w:pPr>
      <w:r>
        <w:rPr>
          <w:rFonts w:ascii="Malgun Gothic" w:hAnsi="Malgun Gothic" w:eastAsia="Malgun Gothic"/>
          <w:sz w:val="21"/>
        </w:rPr>
        <w:t>할인율의 변화에 따른 민감도도 고려해야 한다. 예를 들어 시장금리 상승이나 사업위험 증가로 요구수익률이 높아지면 미래 현금흐름의 현재가치가 감소하여 NPV가 낮아진다. 반대로 안정적인 장기계약 체결, 원가구조 개선 등으로 위험이 낮아지면 할인율이 하락하여 투자안의 현재가치는 커질 수 있다. 또한 실제 현금흐름이 예상보다 감소하는 경우에도 NPV가 악화될 수 있으므로, 실무에서는 기준 시나리오뿐 아니라 매출, 원가, 잔존가치, 할인율 등 핵심 변수의 변동을 함께 검토하는 것이 필요하다.</w:t>
      </w:r>
    </w:p>
    <w:p>
      <w:pPr>
        <w:pStyle w:val="Heading2"/>
        <w:spacing w:before="180" w:after="140"/>
      </w:pPr>
      <w:r>
        <w:rPr>
          <w:rFonts w:ascii="Malgun Gothic" w:hAnsi="Malgun Gothic" w:eastAsia="Malgun Gothic"/>
          <w:b/>
          <w:color w:val="4F8A6D"/>
          <w:sz w:val="25"/>
        </w:rPr>
        <w:t>5. 화폐의 시간가치와 현금흐름 활용의 시사점</w:t>
      </w:r>
    </w:p>
    <w:p>
      <w:pPr>
        <w:spacing w:line="372" w:lineRule="auto" w:after="140"/>
        <w:ind w:firstLine="389"/>
        <w:jc w:val="both"/>
      </w:pPr>
      <w:r>
        <w:rPr>
          <w:rFonts w:ascii="Malgun Gothic" w:hAnsi="Malgun Gothic" w:eastAsia="Malgun Gothic"/>
          <w:sz w:val="21"/>
        </w:rPr>
        <w:t>화폐의 시간가치와 현금흐름 분석은 기업의 설비투자뿐 아니라 개인의 재무의사결정에도 적용할 수 있다. 예를 들어 일시불 구매와 장기 할부를 비교할 때 명목상 총액만 비교하면 할부의 실제 부담을 정확히 판단하기 어렵다. 각 할부금의 현재가치를 계산하면 금융비용이 포함된 실제 경제적 부담을 파악할 수 있다. 반대로 연금이나 저축상품을 평가할 때에는 매 기간 납입하는 금액이 미래에 얼마나 축적되는지 미래가치 관점에서 분석할 수 있다. 즉 같은 계산원리가 투자, 차입, 저축, 연금, 주택구입 등 다양한 재무문제를 연결한다.</w:t>
      </w:r>
    </w:p>
    <w:p>
      <w:pPr>
        <w:spacing w:line="372" w:lineRule="auto" w:after="140"/>
        <w:ind w:firstLine="389"/>
        <w:jc w:val="both"/>
      </w:pPr>
      <w:r>
        <w:rPr>
          <w:rFonts w:ascii="Malgun Gothic" w:hAnsi="Malgun Gothic" w:eastAsia="Malgun Gothic"/>
          <w:sz w:val="21"/>
        </w:rPr>
        <w:t>또한 현금흐름 중심의 사고는 회계이익과 경제적 가치의 차이를 이해하게 한다. 단기적으로 회계이익이 증가하더라도 대규모 운전자본이 묶이거나 매출채권 회수가 지연되면 기업의 실제 현금상태는 악화될 수 있다. 반대로 감가상각비가 커서 회계이익이 낮아 보이더라도 안정적인 현금유입이 지속된다면 투자안의 경제적 가치는 충분히 높을 수 있다. 따라서 재무관리에서 중요한 것은 숫자의 크기만 보는 것이 아니라 그 숫자가 현금인지, 언제 발생하는지, 어떤 위험을 수반하는지를 함께 분석하는 것이다.</w:t>
      </w:r>
    </w:p>
    <w:p>
      <w:pPr>
        <w:pStyle w:val="Heading1"/>
        <w:spacing w:before="240" w:after="140"/>
      </w:pPr>
      <w:r>
        <w:rPr>
          <w:rFonts w:ascii="Malgun Gothic" w:hAnsi="Malgun Gothic" w:eastAsia="Malgun Gothic"/>
          <w:b/>
          <w:color w:val="17324D"/>
          <w:sz w:val="30"/>
        </w:rPr>
        <w:t>Ⅲ. 결론</w:t>
      </w:r>
    </w:p>
    <w:p>
      <w:pPr>
        <w:spacing w:line="372" w:lineRule="auto" w:after="140"/>
        <w:ind w:firstLine="389"/>
        <w:jc w:val="both"/>
      </w:pPr>
      <w:r>
        <w:rPr>
          <w:rFonts w:ascii="Malgun Gothic" w:hAnsi="Malgun Gothic" w:eastAsia="Malgun Gothic"/>
          <w:sz w:val="21"/>
        </w:rPr>
        <w:t>화폐의 시간가치는 서로 다른 시점의 화폐를 동일한 기준시점으로 환산하여 비교하게 해 주는 재무관리의 기본원리이다. 현재의 화폐는 투자기회, 인플레이션, 위험 등의 이유로 미래의 동일한 명목금액보다 높은 가치를 가지며, 미래가치와 현재가치 계산을 통해 이러한 차이를 정량적으로 반영할 수 있다. 현금흐름은 투자나 사업으로 실제 유입·유출되는 현금을 의미하며, 투자평가에서는 회계이익보다 의사결정과 직접 관련되는 증분현금흐름을 중심으로 분석해야 한다.</w:t>
      </w:r>
    </w:p>
    <w:p>
      <w:pPr>
        <w:spacing w:line="372" w:lineRule="auto" w:after="140"/>
        <w:ind w:firstLine="389"/>
        <w:jc w:val="both"/>
      </w:pPr>
      <w:r>
        <w:rPr>
          <w:rFonts w:ascii="Malgun Gothic" w:hAnsi="Malgun Gothic" w:eastAsia="Malgun Gothic"/>
          <w:sz w:val="21"/>
        </w:rPr>
        <w:t>본론의 자동화 설비 투자 사례에서는 초기 5,000만 원의 투자와 향후 4년의 현금유입을 연 8%로 할인한 결과 약 1,329만 원의 양(+)의 순현재가치가 산출되었다. 이에 따라 해당 투자안은 요구수익률을 충족한 뒤에도 추가적인 경제적 가치를 창출할 가능성이 있으므로 채택이 타당하다고 판단할 수 있다. 이 사례는 단순한 현금 합계가 아니라 현금의 발생시점과 위험을 함께 고려해야 합리적인 의사결정을 할 수 있음을 보여준다.</w:t>
      </w:r>
    </w:p>
    <w:p>
      <w:pPr>
        <w:spacing w:line="372" w:lineRule="auto" w:after="140"/>
        <w:ind w:firstLine="389"/>
        <w:jc w:val="both"/>
      </w:pPr>
      <w:r>
        <w:rPr>
          <w:rFonts w:ascii="Malgun Gothic" w:hAnsi="Malgun Gothic" w:eastAsia="Malgun Gothic"/>
          <w:sz w:val="21"/>
        </w:rPr>
        <w:t>종합하면 재무의사결정의 질을 높이기 위해서는 첫째, 모든 현금흐름의 발생시점과 규모를 명확하게 추정하고, 둘째, 투자위험과 자본의 기회비용을 반영한 적절한 할인율을 설정하며, 셋째, NPV 등 화폐의 시간가치를 반영하는 평가기법을 활용해야 한다. 아울러 실제 경영환경에서는 현금흐름과 할인율이 예상과 달라질 수 있으므로 민감도 분석과 시나리오 분석을 병행하는 것이 바람직하다. 이러한 접근은 기업가치 극대화뿐 아니라 개인의 대출, 저축, 연금 등 일상적인 재무의사결정에도 유용한 기준을 제공한다.</w:t>
      </w:r>
    </w:p>
    <w:p>
      <w:pPr>
        <w:pStyle w:val="Heading1"/>
        <w:spacing w:before="240" w:after="140"/>
      </w:pPr>
      <w:r>
        <w:rPr>
          <w:rFonts w:ascii="Malgun Gothic" w:hAnsi="Malgun Gothic" w:eastAsia="Malgun Gothic"/>
          <w:b/>
          <w:color w:val="17324D"/>
          <w:sz w:val="30"/>
        </w:rPr>
        <w:t>Ⅳ. 참고문헌</w:t>
      </w:r>
    </w:p>
    <w:p>
      <w:pPr>
        <w:spacing w:after="100"/>
        <w:ind w:left="360" w:hanging="360"/>
      </w:pPr>
      <w:r>
        <w:rPr>
          <w:rFonts w:ascii="Malgun Gothic" w:hAnsi="Malgun Gothic" w:eastAsia="Malgun Gothic"/>
          <w:sz w:val="20"/>
        </w:rPr>
        <w:t>Brealey, R. A., Myers, S. C., Allen, F., &amp; Edmans, A. (2023). Principles of Corporate Finance (14th ed.). McGraw Hill.</w:t>
      </w:r>
    </w:p>
    <w:p>
      <w:pPr>
        <w:spacing w:after="100"/>
        <w:ind w:left="360" w:hanging="360"/>
      </w:pPr>
      <w:r>
        <w:rPr>
          <w:rFonts w:ascii="Malgun Gothic" w:hAnsi="Malgun Gothic" w:eastAsia="Malgun Gothic"/>
          <w:sz w:val="20"/>
        </w:rPr>
        <w:t>Ross, S. A., Westerfield, R. W., Jaffe, J., &amp; Jordan, B. D. (2022). Corporate Finance (13th ed.). McGraw Hill.</w:t>
      </w:r>
    </w:p>
    <w:p>
      <w:pPr>
        <w:spacing w:after="100"/>
        <w:ind w:left="360" w:hanging="360"/>
      </w:pPr>
      <w:r>
        <w:rPr>
          <w:rFonts w:ascii="Malgun Gothic" w:hAnsi="Malgun Gothic" w:eastAsia="Malgun Gothic"/>
          <w:sz w:val="20"/>
        </w:rPr>
        <w:t>Brigham, E. F., &amp; Ehrhardt, M. C. (2020). Financial Management: Theory &amp; Practice (16th ed.). Cengage.</w:t>
      </w:r>
    </w:p>
    <w:p>
      <w:pPr>
        <w:spacing w:after="100"/>
        <w:ind w:left="360" w:hanging="360"/>
      </w:pPr>
      <w:r>
        <w:rPr>
          <w:rFonts w:ascii="Malgun Gothic" w:hAnsi="Malgun Gothic" w:eastAsia="Malgun Gothic"/>
          <w:sz w:val="20"/>
        </w:rPr>
        <w:t>이의경. (2021). 재무관리: 이론과 응용 (제7판). 북넷.</w:t>
      </w:r>
    </w:p>
    <w:p>
      <w:pPr>
        <w:spacing w:after="100"/>
        <w:ind w:left="360" w:hanging="360"/>
      </w:pPr>
      <w:r>
        <w:rPr>
          <w:rFonts w:ascii="Malgun Gothic" w:hAnsi="Malgun Gothic" w:eastAsia="Malgun Gothic"/>
          <w:sz w:val="20"/>
        </w:rPr>
        <w:t>박정식·박종원·조재호. (2024). 현대재무관리 (제9판). 다산출판사.</w:t>
      </w:r>
    </w:p>
    <w:p>
      <w:pPr>
        <w:spacing w:after="100"/>
        <w:ind w:left="360" w:hanging="360"/>
      </w:pPr>
      <w:r>
        <w:rPr>
          <w:rFonts w:ascii="Malgun Gothic" w:hAnsi="Malgun Gothic" w:eastAsia="Malgun Gothic"/>
          <w:sz w:val="20"/>
        </w:rPr>
        <w:t>박정식·박종원·이장우. (2021). 재무관리 (제4판). 다산출판사.</w:t>
      </w:r>
    </w:p>
    <w:p>
      <w:r>
        <w:br w:type="page"/>
      </w:r>
    </w:p>
    <w:tbl>
      <w:tblPr>
        <w:tblW w:type="auto" w:w="0"/>
        <w:jc w:val="center"/>
        <w:tblLayout w:type="fixed"/>
        <w:tblLook w:firstColumn="1" w:firstRow="1" w:lastColumn="0" w:lastRow="0" w:noHBand="0" w:noVBand="1" w:val="04A0"/>
      </w:tblPr>
      <w:tblGrid>
        <w:gridCol w:w="9648"/>
      </w:tblGrid>
      <w:tr>
        <w:tc>
          <w:tcPr>
            <w:tcW w:type="dxa" w:w="8784"/>
            <w:shd w:fill="F7F8F5"/>
            <w:tcBorders>
              <w:top w:val="single" w:sz="10" w:color="17324D"/>
              <w:left w:val="single" w:sz="10" w:color="17324D"/>
              <w:bottom w:val="single" w:sz="10" w:color="17324D"/>
              <w:right w:val="single" w:sz="10" w:color="17324D"/>
            </w:tcBorders>
          </w:tcPr>
          <w:p>
            <w:pPr>
              <w:spacing w:before="240" w:after="160"/>
            </w:pPr>
            <w:r>
              <w:rPr>
                <w:rFonts w:ascii="Malgun Gothic" w:hAnsi="Malgun Gothic" w:eastAsia="Malgun Gothic"/>
                <w:b/>
                <w:color w:val="17324D"/>
                <w:sz w:val="32"/>
              </w:rPr>
              <w:t>⚠️ 주의사항</w:t>
            </w:r>
          </w:p>
          <w:p>
            <w:pPr>
              <w:spacing w:after="60"/>
            </w:pPr>
            <w:r>
              <w:rPr>
                <w:rFonts w:ascii="Malgun Gothic" w:hAnsi="Malgun Gothic" w:eastAsia="Malgun Gothic"/>
                <w:sz w:val="22"/>
              </w:rPr>
              <w:t>본 자료는 학점은행제 과제 참고용 샘플입니다.</w:t>
            </w:r>
          </w:p>
          <w:p>
            <w:pPr>
              <w:spacing w:after="60"/>
            </w:pPr>
            <w:r>
              <w:rPr>
                <w:rFonts w:ascii="Malgun Gothic" w:hAnsi="Malgun Gothic" w:eastAsia="Malgun Gothic"/>
                <w:sz w:val="22"/>
              </w:rPr>
              <w:t>위 학습 자료를 그대로 제출할 경우 모사율(표절률)로 인하여</w:t>
            </w:r>
          </w:p>
          <w:p>
            <w:pPr>
              <w:spacing w:after="60"/>
            </w:pPr>
            <w:r>
              <w:rPr>
                <w:rFonts w:ascii="Malgun Gothic" w:hAnsi="Malgun Gothic" w:eastAsia="Malgun Gothic"/>
                <w:sz w:val="22"/>
              </w:rPr>
              <w:t>성적 불이익 또는 해당 과목 0점 처리될 수 있습니다.</w:t>
            </w:r>
          </w:p>
          <w:p>
            <w:pPr>
              <w:spacing w:after="60"/>
            </w:pPr>
            <w:r>
              <w:rPr>
                <w:rFonts w:ascii="Malgun Gothic" w:hAnsi="Malgun Gothic" w:eastAsia="Malgun Gothic"/>
                <w:sz w:val="22"/>
              </w:rPr>
              <w:t>반드시 본인의 언어로 수정·재작성하여 제출하시기 바랍니다.</w:t>
            </w:r>
          </w:p>
          <w:p>
            <w:pPr>
              <w:spacing w:before="280" w:after="120"/>
            </w:pPr>
            <w:r>
              <w:rPr>
                <w:rFonts w:ascii="Malgun Gothic" w:hAnsi="Malgun Gothic" w:eastAsia="Malgun Gothic"/>
                <w:b/>
                <w:color w:val="4F8A6D"/>
                <w:sz w:val="28"/>
              </w:rPr>
              <w:t>📌 과제 수정이 어려우신가요?</w:t>
            </w:r>
          </w:p>
          <w:p>
            <w:pPr>
              <w:spacing w:after="60"/>
            </w:pPr>
            <w:r>
              <w:rPr>
                <w:rFonts w:ascii="Malgun Gothic" w:hAnsi="Malgun Gothic" w:eastAsia="Malgun Gothic"/>
                <w:sz w:val="22"/>
              </w:rPr>
              <w:t>국민원격교육관리센터에서 1:1 과제 수정 도움을 드립니다.</w:t>
            </w:r>
          </w:p>
          <w:p>
            <w:pPr>
              <w:spacing w:after="60"/>
            </w:pPr>
            <w:r>
              <w:rPr>
                <w:rFonts w:ascii="Malgun Gothic" w:hAnsi="Malgun Gothic" w:eastAsia="Malgun Gothic"/>
                <w:sz w:val="22"/>
              </w:rPr>
              <w:t>아래 연락처로 문의해 주세요.</w:t>
            </w:r>
          </w:p>
          <w:p>
            <w:pPr>
              <w:spacing w:after="100"/>
            </w:pPr>
            <w:r>
              <w:rPr>
                <w:rFonts w:ascii="Malgun Gothic" w:hAnsi="Malgun Gothic" w:eastAsia="Malgun Gothic"/>
                <w:b/>
                <w:sz w:val="22"/>
              </w:rPr>
              <w:t>📞 전화: 050-7878-7044</w:t>
            </w:r>
          </w:p>
          <w:p>
            <w:pPr>
              <w:spacing w:after="100"/>
            </w:pPr>
            <w:r>
              <w:rPr>
                <w:rFonts w:ascii="Malgun Gothic" w:hAnsi="Malgun Gothic" w:eastAsia="Malgun Gothic"/>
                <w:b/>
                <w:sz w:val="22"/>
              </w:rPr>
              <w:t>💬 카카오톡: @국민원격교육관리센터</w:t>
            </w:r>
          </w:p>
          <w:p>
            <w:pPr>
              <w:spacing w:after="100"/>
            </w:pPr>
            <w:r>
              <w:rPr>
                <w:rFonts w:ascii="Malgun Gothic" w:hAnsi="Malgun Gothic" w:eastAsia="Malgun Gothic"/>
                <w:b w:val="0"/>
                <w:sz w:val="22"/>
              </w:rPr>
              <w:t>🕐 운영시간: 평일 10:00–19:00</w:t>
            </w:r>
          </w:p>
          <w:p>
            <w:pPr>
              <w:spacing w:after="100"/>
            </w:pPr>
            <w:r>
              <w:rPr>
                <w:rFonts w:ascii="Malgun Gothic" w:hAnsi="Malgun Gothic" w:eastAsia="Malgun Gothic"/>
                <w:b w:val="0"/>
                <w:sz w:val="22"/>
              </w:rPr>
              <w:t>🌐 웹사이트: korealms.co.kr</w:t>
            </w:r>
          </w:p>
        </w:tc>
      </w:tr>
    </w:tbl>
    <w:sectPr w:rsidR="00FC693F" w:rsidRPr="0006063C" w:rsidSect="00034616">
      <w:footerReference w:type="default" r:id="rId9"/>
      <w:pgSz w:w="12240" w:h="15840"/>
      <w:pgMar w:top="1224" w:right="1296"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algun Gothic" w:hAnsi="Malgun Gothic" w:eastAsia="Malgun Gothic"/>
        <w:color w:val="787878"/>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algun Gothic" w:hAnsi="Malgun Gothic" w:eastAsia="Malgun Gothic"/>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Malgun Gothic" w:hAnsi="Malgun Gothic" w:eastAsia="Malgun Gothic"/>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Malgun Gothic" w:hAnsi="Malgun Gothic" w:eastAsia="Malgun Gothic"/>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재무관리 - 화폐의 시간가치와 현금흐름</dc:title>
  <dc:subject>학점은행제 과제 참고용 샘플</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