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400"/>
        <w:jc w:val="center"/>
      </w:pPr>
      <w:r>
        <w:rPr>
          <w:rFonts w:ascii="Malgun Gothic" w:hAnsi="Malgun Gothic" w:eastAsia="Malgun Gothic"/>
          <w:b/>
          <w:color w:val="1F4E79"/>
          <w:sz w:val="34"/>
        </w:rPr>
        <w:t>건강가정론</w:t>
      </w:r>
    </w:p>
    <w:p>
      <w:pPr>
        <w:spacing w:after="500"/>
        <w:jc w:val="center"/>
      </w:pPr>
      <w:r>
        <w:rPr>
          <w:rFonts w:ascii="Malgun Gothic" w:hAnsi="Malgun Gothic" w:eastAsia="Malgun Gothic"/>
          <w:b/>
          <w:color w:val="232323"/>
          <w:sz w:val="52"/>
        </w:rPr>
        <w:t>과 제 보 고 서</w:t>
      </w:r>
    </w:p>
    <w:p>
      <w:pPr>
        <w:spacing w:after="700"/>
        <w:jc w:val="center"/>
        <w:shd w:fill="EAF1F8"/>
      </w:pPr>
      <w:r>
        <w:rPr>
          <w:rFonts w:ascii="Malgun Gothic" w:hAnsi="Malgun Gothic" w:eastAsia="Malgun Gothic"/>
          <w:b/>
          <w:color w:val="1F4E79"/>
          <w:sz w:val="26"/>
        </w:rPr>
        <w:t>듀발의 가족생활주기별 발달단계와 과업을 설명하고, 자신의 가족생활주기에 적합한 가족센터 사업을 조사하시오.</w:t>
      </w:r>
    </w:p>
    <w:p>
      <w:pPr>
        <w:spacing w:before="300" w:after="240"/>
        <w:jc w:val="center"/>
      </w:pPr>
      <w:r>
        <w:rPr>
          <w:rFonts w:ascii="Malgun Gothic" w:hAnsi="Malgun Gothic" w:eastAsia="Malgun Gothic"/>
          <w:b/>
          <w:color w:val="232323"/>
          <w:sz w:val="30"/>
        </w:rPr>
        <w:t>목    차</w:t>
      </w:r>
    </w:p>
    <w:p>
      <w:pPr>
        <w:spacing w:after="80"/>
        <w:ind w:left="1152" w:right="1152"/>
      </w:pPr>
      <w:r>
        <w:rPr>
          <w:rFonts w:ascii="Malgun Gothic" w:hAnsi="Malgun Gothic" w:eastAsia="Malgun Gothic"/>
          <w:b w:val="0"/>
          <w:color w:val="232323"/>
          <w:sz w:val="21"/>
        </w:rPr>
        <w:t>Ⅰ. 서론 ············································· 2</w:t>
      </w:r>
    </w:p>
    <w:p>
      <w:pPr>
        <w:spacing w:after="80"/>
        <w:ind w:left="1152" w:right="1152"/>
      </w:pPr>
      <w:r>
        <w:rPr>
          <w:rFonts w:ascii="Malgun Gothic" w:hAnsi="Malgun Gothic" w:eastAsia="Malgun Gothic"/>
          <w:b w:val="0"/>
          <w:color w:val="232323"/>
          <w:sz w:val="21"/>
        </w:rPr>
        <w:t>Ⅱ. 듀발의 가족생활주기 이론 ························· 2</w:t>
      </w:r>
    </w:p>
    <w:p>
      <w:pPr>
        <w:spacing w:after="80"/>
        <w:ind w:left="1152" w:right="1152"/>
      </w:pPr>
      <w:r>
        <w:rPr>
          <w:rFonts w:ascii="Malgun Gothic" w:hAnsi="Malgun Gothic" w:eastAsia="Malgun Gothic"/>
          <w:b w:val="0"/>
          <w:color w:val="232323"/>
          <w:sz w:val="21"/>
        </w:rPr>
        <w:t>Ⅲ. 단계별 발달과업 ··································· 3</w:t>
      </w:r>
    </w:p>
    <w:p>
      <w:pPr>
        <w:spacing w:after="80"/>
        <w:ind w:left="1152" w:right="1152"/>
      </w:pPr>
      <w:r>
        <w:rPr>
          <w:rFonts w:ascii="Malgun Gothic" w:hAnsi="Malgun Gothic" w:eastAsia="Malgun Gothic"/>
          <w:b w:val="0"/>
          <w:color w:val="232323"/>
          <w:sz w:val="21"/>
        </w:rPr>
        <w:t>Ⅳ. 자신의 가족생활주기 분석 ························· 4</w:t>
      </w:r>
    </w:p>
    <w:p>
      <w:pPr>
        <w:spacing w:after="80"/>
        <w:ind w:left="1152" w:right="1152"/>
      </w:pPr>
      <w:r>
        <w:rPr>
          <w:rFonts w:ascii="Malgun Gothic" w:hAnsi="Malgun Gothic" w:eastAsia="Malgun Gothic"/>
          <w:b w:val="0"/>
          <w:color w:val="232323"/>
          <w:sz w:val="21"/>
        </w:rPr>
        <w:t>Ⅴ. 적합한 가족센터 사업 조사 ························· 5</w:t>
      </w:r>
    </w:p>
    <w:p>
      <w:pPr>
        <w:spacing w:after="80"/>
        <w:ind w:left="1152" w:right="1152"/>
      </w:pPr>
      <w:r>
        <w:rPr>
          <w:rFonts w:ascii="Malgun Gothic" w:hAnsi="Malgun Gothic" w:eastAsia="Malgun Gothic"/>
          <w:b w:val="0"/>
          <w:color w:val="232323"/>
          <w:sz w:val="21"/>
        </w:rPr>
        <w:t>Ⅵ. 결론 및 참고문헌 ································· 6</w:t>
      </w:r>
    </w:p>
    <w:p>
      <w:r>
        <w:br w:type="page"/>
      </w:r>
    </w:p>
    <w:p>
      <w:pPr>
        <w:pStyle w:val="Heading1"/>
      </w:pPr>
      <w:r>
        <w:t>Ⅰ. 서론</w:t>
      </w:r>
    </w:p>
    <w:p>
      <w:pPr>
        <w:ind w:firstLine="403"/>
      </w:pPr>
      <w:r>
        <w:rPr>
          <w:rFonts w:ascii="Malgun Gothic" w:hAnsi="Malgun Gothic" w:eastAsia="Malgun Gothic"/>
          <w:b w:val="0"/>
          <w:color w:val="232323"/>
          <w:sz w:val="21"/>
        </w:rPr>
        <w:t>가족은 고정된 집단이 아니라 결혼, 출산, 자녀의 성장과 독립, 노년기라는 시간의 흐름에 따라 구조와 역할이 변화하는 생활체계이다. 같은 문제라도 가족이 어느 단계에 있는지에 따라 원인과 필요한 자원이 달라지므로, 가족생활주기 관점은 가족의 변화와 적응을 이해하는 유용한 틀을 제공한다. 듀발(Duvall)은 가족을 자녀의 연령과 가족 내 역할 변화를 중심으로 여덟 단계로 구분하고, 각 단계에서 성공적으로 수행해야 할 발달과업을 제시하였다.</w:t>
      </w:r>
    </w:p>
    <w:p>
      <w:pPr>
        <w:ind w:firstLine="403"/>
      </w:pPr>
      <w:r>
        <w:rPr>
          <w:rFonts w:ascii="Malgun Gothic" w:hAnsi="Malgun Gothic" w:eastAsia="Malgun Gothic"/>
          <w:b w:val="0"/>
          <w:color w:val="232323"/>
          <w:sz w:val="21"/>
        </w:rPr>
        <w:t>본 보고서는 듀발의 가족생활주기별 발달단계와 핵심 과업을 정리한 뒤, 현재의 가족상황을 부부 형성기이자 자녀 출산 전 단계로 설정하여 필요한 지원을 분석한다. 이어 지역 가족센터가 제공하는 가족교육, 부부상담, 가족참여 및 공동체 사업을 살펴보고 현재 단계에 적합한 활용방안을 제안하고자 한다.</w:t>
      </w:r>
    </w:p>
    <w:p>
      <w:pPr>
        <w:pStyle w:val="Heading1"/>
      </w:pPr>
      <w:r>
        <w:t>Ⅱ. 듀발의 가족생활주기 이론</w:t>
      </w:r>
    </w:p>
    <w:p>
      <w:pPr>
        <w:pStyle w:val="Heading2"/>
      </w:pPr>
      <w:r>
        <w:t>1. 가족생활주기의 의미</w:t>
      </w:r>
    </w:p>
    <w:p>
      <w:pPr>
        <w:ind w:firstLine="403"/>
      </w:pPr>
      <w:r>
        <w:rPr>
          <w:rFonts w:ascii="Malgun Gothic" w:hAnsi="Malgun Gothic" w:eastAsia="Malgun Gothic"/>
          <w:b w:val="0"/>
          <w:color w:val="232323"/>
          <w:sz w:val="21"/>
        </w:rPr>
        <w:t>가족생활주기는 가족이 형성되어 확대되고 축소되는 과정을 단계적으로 설명한다. 개인의 발달이 가족관계 속에서 이루어지듯 가족도 사회가 기대하는 역할과 과업을 수행하며 변화한다. 발달과업은 특정 시기에 가족이 해결해야 할 관계적·경제적·양육적 요구로서, 이를 적절히 수행하면 다음 단계로 원활하게 이동하지만 해결되지 않은 과업은 이후 갈등과 부담으로 이어질 수 있다.</w:t>
      </w:r>
    </w:p>
    <w:p>
      <w:pPr>
        <w:pStyle w:val="Heading2"/>
      </w:pPr>
      <w:r>
        <w:t>2. 이론의 의의와 한계</w:t>
      </w:r>
    </w:p>
    <w:p>
      <w:pPr>
        <w:ind w:firstLine="403"/>
      </w:pPr>
      <w:r>
        <w:rPr>
          <w:rFonts w:ascii="Malgun Gothic" w:hAnsi="Malgun Gothic" w:eastAsia="Malgun Gothic"/>
          <w:b w:val="0"/>
          <w:color w:val="232323"/>
          <w:sz w:val="21"/>
        </w:rPr>
        <w:t>듀발의 모형은 가족이 겪는 변화를 예측하고 예방적 서비스를 계획하게 한다는 장점이 있다. 예컨대 영유아기에는 부모역할 교육과 돌봄 자원이, 청소년기에는 자율성과 경계 재조정이 중요하다는 점을 체계적으로 파악할 수 있다. 그러나 전통적인 핵가족과 자녀 중심의 순서를 표준으로 삼았다는 한계도 있다. 오늘날에는 비혼, 무자녀, 한부모, 재혼, 다문화, 동성부부, 조손가족 등 경로가 다양하므로 단계표를 규범적 잣대가 아니라 가족의 과업을 탐색하는 유연한 틀로 사용해야 한다.</w:t>
      </w:r>
    </w:p>
    <w:p>
      <w:r>
        <w:br w:type="page"/>
      </w:r>
    </w:p>
    <w:p>
      <w:pPr>
        <w:pStyle w:val="Heading1"/>
      </w:pPr>
      <w:r>
        <w:t>Ⅲ. 듀발의 단계별 발달과업</w:t>
      </w:r>
    </w:p>
    <w:p>
      <w:pPr>
        <w:pStyle w:val="Heading2"/>
      </w:pPr>
      <w:r>
        <w:t>1. 신혼부부 가족</w:t>
      </w:r>
    </w:p>
    <w:p>
      <w:pPr>
        <w:ind w:firstLine="403"/>
      </w:pPr>
      <w:r>
        <w:rPr>
          <w:rFonts w:ascii="Malgun Gothic" w:hAnsi="Malgun Gothic" w:eastAsia="Malgun Gothic"/>
          <w:b w:val="0"/>
          <w:color w:val="232323"/>
          <w:sz w:val="21"/>
        </w:rPr>
        <w:t>결혼으로 새로운 가족체계를 형성하는 단계이다. 원가족으로부터 정서적으로 분화하면서 배우자와 친밀한 관계를 만들고, 가사·경제·여가·친족관계에 관한 규칙과 역할을 합의해야 한다. 갈등을 억제하기보다 의사소통을 통해 해결하는 방식과 공동의 재정계획을 마련하는 것이 중요하다.</w:t>
      </w:r>
    </w:p>
    <w:p>
      <w:pPr>
        <w:pStyle w:val="Heading2"/>
      </w:pPr>
      <w:r>
        <w:t>2. 자녀 출산 및 영아기 가족</w:t>
      </w:r>
    </w:p>
    <w:p>
      <w:pPr>
        <w:ind w:firstLine="403"/>
      </w:pPr>
      <w:r>
        <w:rPr>
          <w:rFonts w:ascii="Malgun Gothic" w:hAnsi="Malgun Gothic" w:eastAsia="Malgun Gothic"/>
          <w:b w:val="0"/>
          <w:color w:val="232323"/>
          <w:sz w:val="21"/>
        </w:rPr>
        <w:t>첫 자녀의 출생부터 약 30개월까지로, 부부체계에 부모 하위체계가 추가된다. 부모역할 수용, 영아의 안전과 애착 형성, 수면·돌봄·가사 분담, 양육비 조정이 핵심 과업이다. 부부만의 시간 감소와 경력단절 가능성에 대응하고 확대가족과의 경계를 조정해야 한다.</w:t>
      </w:r>
    </w:p>
    <w:p>
      <w:pPr>
        <w:pStyle w:val="Heading2"/>
      </w:pPr>
      <w:r>
        <w:t>3. 학령전기 자녀 가족</w:t>
      </w:r>
    </w:p>
    <w:p>
      <w:pPr>
        <w:ind w:firstLine="403"/>
      </w:pPr>
      <w:r>
        <w:rPr>
          <w:rFonts w:ascii="Malgun Gothic" w:hAnsi="Malgun Gothic" w:eastAsia="Malgun Gothic"/>
          <w:b w:val="0"/>
          <w:color w:val="232323"/>
          <w:sz w:val="21"/>
        </w:rPr>
        <w:t>첫 자녀가 약 2세 반에서 취학 전까지인 시기이다. 아동의 언어·운동·사회성 발달을 촉진하고 일관된 생활습관과 안전한 한계를 제공해야 한다. 보육기관과 협력하면서 부모의 과잉통제와 방임을 피하고, 둘째 자녀 출산 등으로 변화한 가족관계를 재조정하는 과업이 포함된다.</w:t>
      </w:r>
    </w:p>
    <w:p>
      <w:pPr>
        <w:pStyle w:val="Heading2"/>
      </w:pPr>
      <w:r>
        <w:t>4. 학령기 자녀 가족</w:t>
      </w:r>
    </w:p>
    <w:p>
      <w:pPr>
        <w:ind w:firstLine="403"/>
      </w:pPr>
      <w:r>
        <w:rPr>
          <w:rFonts w:ascii="Malgun Gothic" w:hAnsi="Malgun Gothic" w:eastAsia="Malgun Gothic"/>
          <w:b w:val="0"/>
          <w:color w:val="232323"/>
          <w:sz w:val="21"/>
        </w:rPr>
        <w:t>첫 자녀가 초등학교에 입학하면서 가족과 학교·또래·지역사회의 연결이 확대된다. 학업 성취만이 아니라 또래관계, 자존감, 책임감 발달을 지원하고 학교생활에 적응하도록 도와야 한다. 가족 규칙을 자녀의 성장에 맞게 수정하고 부모의 사회적 활동과 가정생활을 균형 있게 운영한다.</w:t>
      </w:r>
    </w:p>
    <w:p>
      <w:pPr>
        <w:pStyle w:val="Heading2"/>
      </w:pPr>
      <w:r>
        <w:t>5. 청소년기 자녀 가족</w:t>
      </w:r>
    </w:p>
    <w:p>
      <w:pPr>
        <w:ind w:firstLine="403"/>
      </w:pPr>
      <w:r>
        <w:rPr>
          <w:rFonts w:ascii="Malgun Gothic" w:hAnsi="Malgun Gothic" w:eastAsia="Malgun Gothic"/>
          <w:b w:val="0"/>
          <w:color w:val="232323"/>
          <w:sz w:val="21"/>
        </w:rPr>
        <w:t>청소년의 독립 욕구가 커지는 단계로, 부모는 통제 중심의 관계에서 협상과 책임 중심의 관계로 전환해야 한다. 자녀의 정체성 탐색과 진로결정을 존중하되 안전에 필요한 경계를 유지해야 한다. 동시에 중년기 부모의 직업 변화와 조부모 부양 문제가 겹칠 수 있어 세대 간 관계를 재정립할 필요가 있다.</w:t>
      </w:r>
    </w:p>
    <w:p>
      <w:pPr>
        <w:pStyle w:val="Heading2"/>
      </w:pPr>
      <w:r>
        <w:t>6. 자녀 진수기 가족</w:t>
      </w:r>
    </w:p>
    <w:p>
      <w:pPr>
        <w:ind w:firstLine="403"/>
      </w:pPr>
      <w:r>
        <w:rPr>
          <w:rFonts w:ascii="Malgun Gothic" w:hAnsi="Malgun Gothic" w:eastAsia="Malgun Gothic"/>
          <w:b w:val="0"/>
          <w:color w:val="232323"/>
          <w:sz w:val="21"/>
        </w:rPr>
        <w:t>첫 자녀의 독립부터 마지막 자녀의 독립까지로, 성인 자녀가 원가족 밖에서 자율적인 삶을 형성하도록 지원한다. 부모는 자녀를 성인으로 인정하고 새로운 친족관계를 수용하며, 자녀 중심이었던 부부관계를 다시 강화해야 한다. 경제적 지원의 범위와 독립의 기준을 명확히 합의하는 것도 중요하다.</w:t>
      </w:r>
    </w:p>
    <w:p>
      <w:pPr>
        <w:pStyle w:val="Heading2"/>
      </w:pPr>
      <w:r>
        <w:t>7. 중년기 가족</w:t>
      </w:r>
    </w:p>
    <w:p>
      <w:pPr>
        <w:ind w:firstLine="403"/>
      </w:pPr>
      <w:r>
        <w:rPr>
          <w:rFonts w:ascii="Malgun Gothic" w:hAnsi="Malgun Gothic" w:eastAsia="Malgun Gothic"/>
          <w:b w:val="0"/>
          <w:color w:val="232323"/>
          <w:sz w:val="21"/>
        </w:rPr>
        <w:t>자녀가 모두 독립한 뒤 은퇴 전까지의 시기이다. 부부는 공동의 여가와 친밀감을 재구성하고 노부모 돌봄, 건강 변화, 직업적 전환에 적응해야 한다. 성인 자녀와 손자녀에게 지지적 역할을 하되 지나친 개입을 줄이고 자신의 삶과 사회적 관계를 유지하는 과업이 요구된다.</w:t>
      </w:r>
    </w:p>
    <w:p>
      <w:pPr>
        <w:pStyle w:val="Heading2"/>
      </w:pPr>
      <w:r>
        <w:t>8. 노년기 가족</w:t>
      </w:r>
    </w:p>
    <w:p>
      <w:pPr>
        <w:ind w:firstLine="403"/>
      </w:pPr>
      <w:r>
        <w:rPr>
          <w:rFonts w:ascii="Malgun Gothic" w:hAnsi="Malgun Gothic" w:eastAsia="Malgun Gothic"/>
          <w:b w:val="0"/>
          <w:color w:val="232323"/>
          <w:sz w:val="21"/>
        </w:rPr>
        <w:t>은퇴 이후 배우자 사망과 가족 생애의 종결까지를 포함한다. 소득과 역할의 축소, 신체기능 저하, 상실에 적응하면서도 자율성과 존엄성을 유지해야 한다. 적절한 주거와 돌봄체계를 마련하고 가족 및 지역사회와 관계를 지속하며 삶의 의미를 통합하는 것이 핵심 과업이다.</w:t>
      </w:r>
    </w:p>
    <w:p>
      <w:r>
        <w:br w:type="page"/>
      </w:r>
    </w:p>
    <w:p>
      <w:pPr>
        <w:pStyle w:val="Heading1"/>
      </w:pPr>
      <w:r>
        <w:t>Ⅳ. 자신의 가족생활주기 분석</w:t>
      </w:r>
    </w:p>
    <w:p>
      <w:pPr>
        <w:pStyle w:val="Heading2"/>
      </w:pPr>
      <w:r>
        <w:t>1. 현재 단계의 설정</w:t>
      </w:r>
    </w:p>
    <w:p>
      <w:pPr>
        <w:ind w:firstLine="403"/>
      </w:pPr>
      <w:r>
        <w:rPr>
          <w:rFonts w:ascii="Malgun Gothic" w:hAnsi="Malgun Gothic" w:eastAsia="Malgun Gothic"/>
          <w:b w:val="0"/>
          <w:color w:val="232323"/>
          <w:sz w:val="21"/>
        </w:rPr>
        <w:t>본 보고서에서는 현재 가족을 결혼을 통해 새롭게 형성되었으나 아직 자녀가 없는 부부로 설정하였다. 이는 듀발 모형의 첫 단계인 신혼부부 가족에 해당하며, 동시에 향후 자녀계획 여부를 결정하는 전환기이다. 현대 가족에서는 결혼기간만으로 단계 적응을 판단하기보다 부부가 실제로 수행하는 관계 형성, 생활규칙 협상, 장래계획 수립 과정을 살펴보는 것이 중요하다.</w:t>
      </w:r>
    </w:p>
    <w:p>
      <w:pPr>
        <w:pStyle w:val="Heading2"/>
      </w:pPr>
      <w:r>
        <w:t>2. 현재 가족의 주요 발달과업</w:t>
      </w:r>
    </w:p>
    <w:p>
      <w:pPr>
        <w:ind w:firstLine="403"/>
      </w:pPr>
      <w:r>
        <w:rPr>
          <w:rFonts w:ascii="Malgun Gothic" w:hAnsi="Malgun Gothic" w:eastAsia="Malgun Gothic"/>
          <w:b w:val="0"/>
          <w:color w:val="232323"/>
          <w:sz w:val="21"/>
        </w:rPr>
        <w:t>첫째 과업은 두 사람이 원가족에서 습득한 생활방식의 차이를 인정하고 부부만의 규칙을 만드는 것이다. 가사분담, 소비와 저축, 명절 및 친족 왕래, 개인시간의 범위를 구체적으로 합의할 필요가 있다. 둘째는 감정과 요구를 비난 없이 표현하고 갈등 후 관계를 회복하는 의사소통 능력을 형성하는 것이다. 셋째는 주거, 직업, 건강관리, 자녀계획과 같은 중장기 목표를 공동으로 설계하는 것이다.</w:t>
      </w:r>
    </w:p>
    <w:p>
      <w:pPr>
        <w:ind w:firstLine="403"/>
      </w:pPr>
      <w:r>
        <w:rPr>
          <w:rFonts w:ascii="Malgun Gothic" w:hAnsi="Malgun Gothic" w:eastAsia="Malgun Gothic"/>
          <w:b w:val="0"/>
          <w:color w:val="232323"/>
          <w:sz w:val="21"/>
        </w:rPr>
        <w:t>특히 맞벌이 부부라면 보이지 않는 가사와 정서노동이 한 사람에게 집중되지 않도록 정기적으로 역할을 점검해야 한다. 자녀계획에 대해서도 출산 여부와 시기를 당연한 규범으로 전제하지 않고 가치관, 건강, 돌봄 자원, 경력과 경제여건을 함께 고려해야 한다. 이러한 과업은 문제가 발생한 뒤 상담을 받는 것뿐 아니라 관계가 안정적일 때 예방교육에 참여함으로써 더 효과적으로 수행할 수 있다.</w:t>
      </w:r>
    </w:p>
    <w:p>
      <w:r>
        <w:br w:type="page"/>
      </w:r>
    </w:p>
    <w:p>
      <w:pPr>
        <w:pStyle w:val="Heading1"/>
      </w:pPr>
      <w:r>
        <w:t>Ⅴ. 현재 생활주기에 적합한 가족센터 사업 조사</w:t>
      </w:r>
    </w:p>
    <w:p>
      <w:pPr>
        <w:pStyle w:val="Heading2"/>
      </w:pPr>
      <w:r>
        <w:t>1. 가족센터의 기능과 사업영역</w:t>
      </w:r>
    </w:p>
    <w:p>
      <w:pPr>
        <w:ind w:firstLine="403"/>
      </w:pPr>
      <w:r>
        <w:rPr>
          <w:rFonts w:ascii="Malgun Gothic" w:hAnsi="Malgun Gothic" w:eastAsia="Malgun Gothic"/>
          <w:b w:val="0"/>
          <w:color w:val="232323"/>
          <w:sz w:val="21"/>
        </w:rPr>
        <w:t>가족센터는 「건강가정기본법」과 「다문화가족지원법」에 근거하여 지역주민에게 보편적·통합적 가족서비스를 제공한다. 한국건강가정진흥원이 운영하는 가족서비스 포털에서는 지역 가족센터의 가족관계, 가족돌봄, 가족생활, 가족과 함께하는 지역공동체 영역의 프로그램을 확인할 수 있다. 센터별 세부 명칭과 일정은 다르지만 부부교육, 개인·부부·가족상담, 예비부모교육, 문화활동과 자조모임 등이 공통적으로 활용 가능한 서비스이다.</w:t>
      </w:r>
    </w:p>
    <w:p>
      <w:pPr>
        <w:pStyle w:val="Heading2"/>
      </w:pPr>
      <w:r>
        <w:t>2. 부부교육 및 가족상담</w:t>
      </w:r>
    </w:p>
    <w:p>
      <w:pPr>
        <w:ind w:firstLine="403"/>
      </w:pPr>
      <w:r>
        <w:rPr>
          <w:rFonts w:ascii="Malgun Gothic" w:hAnsi="Malgun Gothic" w:eastAsia="Malgun Gothic"/>
          <w:b w:val="0"/>
          <w:color w:val="232323"/>
          <w:sz w:val="21"/>
        </w:rPr>
        <w:t>현재 단계에 가장 직접적으로 적합한 사업은 신혼·예비부부교육과 부부상담이다. 교육에서는 성격과 가치관의 차이 이해, 공감적 대화, 갈등해결, 재무관리, 가사분담, 친족관계의 경계 설정을 다룰 수 있다. 상담은 문제부부만 이용하는 서비스가 아니라 반복되는 대화 패턴을 조기에 점검하는 예방적 자원이다. 부부가 함께 참여하기 어렵다면 초기에는 개인상담으로 요구를 정리한 뒤 공동상담으로 전환할 수 있다.</w:t>
      </w:r>
    </w:p>
    <w:p>
      <w:pPr>
        <w:pStyle w:val="Heading2"/>
      </w:pPr>
      <w:r>
        <w:t>3. 예비부모교육과 가족참여 프로그램</w:t>
      </w:r>
    </w:p>
    <w:p>
      <w:pPr>
        <w:ind w:firstLine="403"/>
      </w:pPr>
      <w:r>
        <w:rPr>
          <w:rFonts w:ascii="Malgun Gothic" w:hAnsi="Malgun Gothic" w:eastAsia="Malgun Gothic"/>
          <w:b w:val="0"/>
          <w:color w:val="232323"/>
          <w:sz w:val="21"/>
        </w:rPr>
        <w:t>자녀 출산을 계획하는 경우 임신·출산 정보에 그치지 않고 부모역할 기대, 돌봄 분담, 일·가정 양립, 산후 정서 변화, 지역 돌봄자원을 함께 다루는 예비부모교육이 유용하다. 아직 출산계획이 확정되지 않았더라도 교육을 통해 선택에 필요한 정보를 얻을 수 있다. 가족봉사단, 부부 문화활동, 이웃교류와 같은 공동체 프로그램은 부부가 공유 경험을 만들고 지역사회 지지망을 확장하는 데 도움이 된다.</w:t>
      </w:r>
    </w:p>
    <w:p>
      <w:pPr>
        <w:pStyle w:val="Heading2"/>
      </w:pPr>
      <w:r>
        <w:t>4. 구체적 활용계획</w:t>
      </w:r>
    </w:p>
    <w:p>
      <w:pPr>
        <w:ind w:firstLine="403"/>
      </w:pPr>
      <w:r>
        <w:rPr>
          <w:rFonts w:ascii="Malgun Gothic" w:hAnsi="Malgun Gothic" w:eastAsia="Malgun Gothic"/>
          <w:b w:val="0"/>
          <w:color w:val="232323"/>
          <w:sz w:val="21"/>
        </w:rPr>
        <w:t>우선 거주지 가족센터 홈페이지 또는 가족서비스 포털에서 월별 프로그램을 확인하고, 부부 의사소통 교육을 1순위로 신청한다. 교육 후에는 월 1회 가사·재정·친족관계·장래계획을 점검하는 부부회의를 실시해 배운 기술을 생활에 적용한다. 반복되는 갈등이 확인되면 센터 상담에 신청하고, 자녀계획을 구체화하는 시점에는 예비부모교육과 아이돌봄서비스 안내를 연계해 다음 단계의 부담을 예방한다. 프로그램 선택 시 대상, 비용, 대기기간, 온라인 참여 가능 여부는 해당 센터에 재확인해야 한다.</w:t>
      </w:r>
    </w:p>
    <w:p>
      <w:pPr>
        <w:pStyle w:val="Heading1"/>
      </w:pPr>
      <w:r>
        <w:t>Ⅵ. 결론</w:t>
      </w:r>
    </w:p>
    <w:p>
      <w:pPr>
        <w:ind w:firstLine="403"/>
      </w:pPr>
      <w:r>
        <w:rPr>
          <w:rFonts w:ascii="Malgun Gothic" w:hAnsi="Malgun Gothic" w:eastAsia="Malgun Gothic"/>
          <w:b w:val="0"/>
          <w:color w:val="232323"/>
          <w:sz w:val="21"/>
        </w:rPr>
        <w:t>듀발의 가족생활주기 이론은 가족이 시간의 흐름에 따라 수행해야 할 관계적·양육적·경제적 과업을 제시한다. 신혼기부터 노년기까지 각 단계는 이전 단계의 성취를 토대로 새로운 역할과 경계를 요구한다. 다만 실제 가족은 다양한 경로를 거치므로 이 모형은 정상가족을 판정하는 기준이 아니라 현재의 요구와 전환을 이해하는 참고틀로 활용해야 한다.</w:t>
      </w:r>
    </w:p>
    <w:p>
      <w:pPr>
        <w:ind w:firstLine="403"/>
      </w:pPr>
      <w:r>
        <w:rPr>
          <w:rFonts w:ascii="Malgun Gothic" w:hAnsi="Malgun Gothic" w:eastAsia="Malgun Gothic"/>
          <w:b w:val="0"/>
          <w:color w:val="232323"/>
          <w:sz w:val="21"/>
        </w:rPr>
        <w:t>현재 가족을 자녀 없는 부부 형성기로 볼 때 핵심 과업은 부부 정체성 형성, 생활규칙과 역할의 협상, 갈등해결 능력, 장래계획의 공동 수립이다. 지역 가족센터의 부부교육, 상담, 예비부모교육과 공동체 프로그램은 이러한 과업을 예방적으로 지원한다. 중요한 것은 프로그램 참여를 일회성 체험에 그치지 않고 정기적인 부부회의와 생활 속 실천으로 연결하는 일이다.</w:t>
      </w:r>
    </w:p>
    <w:p>
      <w:pPr>
        <w:pStyle w:val="Heading1"/>
      </w:pPr>
      <w:r>
        <w:t>참고문헌</w:t>
      </w:r>
    </w:p>
    <w:p>
      <w:pPr>
        <w:spacing w:line="324" w:lineRule="auto" w:after="100"/>
        <w:ind w:left="360"/>
      </w:pPr>
      <w:r>
        <w:rPr>
          <w:rFonts w:ascii="Malgun Gothic" w:hAnsi="Malgun Gothic" w:eastAsia="Malgun Gothic"/>
          <w:b w:val="0"/>
          <w:color w:val="232323"/>
          <w:sz w:val="19"/>
        </w:rPr>
        <w:t>유영주·김순옥·김경신. (2018). 『가족관계학』. 교문사.</w:t>
      </w:r>
    </w:p>
    <w:p>
      <w:pPr>
        <w:spacing w:line="324" w:lineRule="auto" w:after="100"/>
        <w:ind w:left="360"/>
      </w:pPr>
      <w:r>
        <w:rPr>
          <w:rFonts w:ascii="Malgun Gothic" w:hAnsi="Malgun Gothic" w:eastAsia="Malgun Gothic"/>
          <w:b w:val="0"/>
          <w:color w:val="232323"/>
          <w:sz w:val="19"/>
        </w:rPr>
        <w:t>정현숙. (2016). 『가족생활교육』. 신정.</w:t>
      </w:r>
    </w:p>
    <w:p>
      <w:pPr>
        <w:spacing w:line="324" w:lineRule="auto" w:after="100"/>
        <w:ind w:left="360"/>
      </w:pPr>
      <w:r>
        <w:rPr>
          <w:rFonts w:ascii="Malgun Gothic" w:hAnsi="Malgun Gothic" w:eastAsia="Malgun Gothic"/>
          <w:b w:val="0"/>
          <w:color w:val="232323"/>
          <w:sz w:val="19"/>
        </w:rPr>
        <w:t>Duvall, E. M., &amp; Miller, B. C. (1985). Marriage and family development (6th ed.). Harper &amp; Row.</w:t>
      </w:r>
    </w:p>
    <w:p>
      <w:pPr>
        <w:spacing w:line="324" w:lineRule="auto" w:after="100"/>
        <w:ind w:left="360"/>
      </w:pPr>
      <w:r>
        <w:rPr>
          <w:rFonts w:ascii="Malgun Gothic" w:hAnsi="Malgun Gothic" w:eastAsia="Malgun Gothic"/>
          <w:b w:val="0"/>
          <w:color w:val="232323"/>
          <w:sz w:val="19"/>
        </w:rPr>
        <w:t>여성가족부. (2024). 가족사업안내.</w:t>
      </w:r>
    </w:p>
    <w:p>
      <w:pPr>
        <w:spacing w:line="324" w:lineRule="auto" w:after="100"/>
        <w:ind w:left="360"/>
      </w:pPr>
      <w:r>
        <w:rPr>
          <w:rFonts w:ascii="Malgun Gothic" w:hAnsi="Malgun Gothic" w:eastAsia="Malgun Gothic"/>
          <w:b w:val="0"/>
          <w:color w:val="232323"/>
          <w:sz w:val="19"/>
        </w:rPr>
        <w:t>한국건강가정진흥원. (n.d.). 가족서비스: 가족센터 사업 및 프로그램 안내. https://familynet.or.kr</w:t>
      </w:r>
    </w:p>
    <w:p>
      <w:r>
        <w:br w:type="page"/>
      </w:r>
    </w:p>
    <w:p>
      <w:pPr>
        <w:spacing w:before="1800"/>
        <w:jc w:val="center"/>
      </w:pPr>
      <w:r>
        <w:rPr>
          <w:rFonts w:ascii="Malgun Gothic" w:hAnsi="Malgun Gothic" w:eastAsia="Malgun Gothic"/>
          <w:b/>
          <w:color w:val="B4462D"/>
          <w:sz w:val="36"/>
        </w:rPr>
        <w:t>⚠️ 주의사항</w:t>
      </w:r>
    </w:p>
    <w:p>
      <w:pPr>
        <w:spacing w:line="408" w:lineRule="auto"/>
        <w:jc w:val="center"/>
        <w:shd w:fill="FFF3E8"/>
      </w:pPr>
      <w:r>
        <w:rPr>
          <w:rFonts w:ascii="Malgun Gothic" w:hAnsi="Malgun Gothic" w:eastAsia="Malgun Gothic"/>
          <w:b/>
          <w:color w:val="232323"/>
          <w:sz w:val="22"/>
        </w:rPr>
        <w:t>본 자료는 학점은행제 과제 참고용 샘플입니다.</w:t>
        <w:br/>
        <w:t>위 학습 자료를 그대로 제출할 경우 모사율(표절률)로 인하여</w:t>
        <w:br/>
        <w:t>성적 불이익 또는 해당 과목 0점 처리될 수 있습니다.</w:t>
        <w:br/>
        <w:t>반드시 본인의 언어로 수정·재작성하여 제출하시기 바랍니다.</w:t>
      </w:r>
    </w:p>
    <w:p>
      <w:pPr>
        <w:spacing w:before="700"/>
        <w:jc w:val="center"/>
      </w:pPr>
      <w:r>
        <w:rPr>
          <w:rFonts w:ascii="Malgun Gothic" w:hAnsi="Malgun Gothic" w:eastAsia="Malgun Gothic"/>
          <w:b/>
          <w:color w:val="1F4E79"/>
          <w:sz w:val="32"/>
        </w:rPr>
        <w:t>📌 과제 수정이 어려우신가요?</w:t>
      </w:r>
    </w:p>
    <w:p>
      <w:pPr>
        <w:jc w:val="center"/>
      </w:pPr>
      <w:r>
        <w:rPr>
          <w:rFonts w:ascii="Malgun Gothic" w:hAnsi="Malgun Gothic" w:eastAsia="Malgun Gothic"/>
          <w:b w:val="0"/>
          <w:color w:val="232323"/>
          <w:sz w:val="22"/>
        </w:rPr>
        <w:t>국민원격교육관리센터에서 1:1 과제 수정 도움을 드립니다.</w:t>
        <w:br/>
        <w:t>아래 연락처로 문의해 주세요.</w:t>
      </w:r>
    </w:p>
    <w:p>
      <w:pPr>
        <w:spacing w:line="432" w:lineRule="auto"/>
        <w:jc w:val="center"/>
      </w:pPr>
      <w:r>
        <w:rPr>
          <w:rFonts w:ascii="Malgun Gothic" w:hAnsi="Malgun Gothic" w:eastAsia="Malgun Gothic"/>
          <w:b/>
          <w:color w:val="1F4E79"/>
          <w:sz w:val="22"/>
        </w:rPr>
        <w:t>📞 전화: 050-7878-7044</w:t>
        <w:br/>
        <w:t>💬 카카오톡: @국민원격교육관리센터</w:t>
        <w:br/>
        <w:t>🕐 운영시간: 평일 10:00–19:00</w:t>
        <w:br/>
        <w:t>🌐 웹사이트: korealms.co.kr</w:t>
      </w:r>
    </w:p>
    <w:sectPr w:rsidR="00FC693F" w:rsidRPr="0006063C" w:rsidSect="00034616">
      <w:footerReference w:type="default" r:id="rId9"/>
      <w:pgSz w:w="11909" w:h="16834"/>
      <w:pgMar w:top="1123" w:right="1238" w:bottom="1037" w:left="1238" w:header="504"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Malgun Gothic" w:hAnsi="Malgun Gothic" w:eastAsia="Malgun Gothic"/>
        <w:b w:val="0"/>
        <w:color w:val="646464"/>
        <w:sz w:val="17"/>
      </w:rPr>
      <w:t xml:space="preserve">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89" w:lineRule="auto" w:after="140"/>
      <w:jc w:val="both"/>
    </w:pPr>
    <w:rPr>
      <w:rFonts w:ascii="Malgun Gothic" w:hAnsi="Malgun Gothic" w:eastAsia="Malgun Gothic"/>
      <w:color w:val="232323"/>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60" w:after="200"/>
      <w:outlineLvl w:val="0"/>
    </w:pPr>
    <w:rPr>
      <w:rFonts w:asciiTheme="majorHAnsi" w:eastAsiaTheme="majorEastAsia" w:hAnsiTheme="majorHAnsi" w:cstheme="majorBidi" w:ascii="Malgun Gothic" w:hAnsi="Malgun Gothic" w:eastAsia="Malgun Gothic"/>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120"/>
      <w:outlineLvl w:val="1"/>
    </w:pPr>
    <w:rPr>
      <w:rFonts w:asciiTheme="majorHAnsi" w:eastAsiaTheme="majorEastAsia" w:hAnsiTheme="majorHAnsi" w:cstheme="majorBidi" w:ascii="Malgun Gothic" w:hAnsi="Malgun Gothic" w:eastAsia="Malgun Gothic"/>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Malgun Gothic" w:hAnsi="Malgun Gothic" w:eastAsia="Malgun Gothic"/>
      <w:b/>
      <w:bCs/>
      <w:color w:val="1F4E79"/>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