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경제학개론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“장기평균비용곡선이 U자형을 나타내는 이유는 수확체감 때문이다”라는 명제의 진위를 논하시오.</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단기와 장기의 비용개념 ··························· 2</w:t>
      </w:r>
    </w:p>
    <w:p>
      <w:pPr>
        <w:spacing w:after="80"/>
        <w:ind w:left="1152" w:right="1152"/>
      </w:pPr>
      <w:r>
        <w:rPr>
          <w:rFonts w:ascii="Malgun Gothic" w:hAnsi="Malgun Gothic" w:eastAsia="Malgun Gothic"/>
          <w:b w:val="0"/>
          <w:color w:val="232323"/>
          <w:sz w:val="21"/>
        </w:rPr>
        <w:t>Ⅲ. 수확체감과 단기비용곡선 ························· 3</w:t>
      </w:r>
    </w:p>
    <w:p>
      <w:pPr>
        <w:spacing w:after="80"/>
        <w:ind w:left="1152" w:right="1152"/>
      </w:pPr>
      <w:r>
        <w:rPr>
          <w:rFonts w:ascii="Malgun Gothic" w:hAnsi="Malgun Gothic" w:eastAsia="Malgun Gothic"/>
          <w:b w:val="0"/>
          <w:color w:val="232323"/>
          <w:sz w:val="21"/>
        </w:rPr>
        <w:t>Ⅳ. 장기평균비용곡선의 형성 ························· 4</w:t>
      </w:r>
    </w:p>
    <w:p>
      <w:pPr>
        <w:spacing w:after="80"/>
        <w:ind w:left="1152" w:right="1152"/>
      </w:pPr>
      <w:r>
        <w:rPr>
          <w:rFonts w:ascii="Malgun Gothic" w:hAnsi="Malgun Gothic" w:eastAsia="Malgun Gothic"/>
          <w:b w:val="0"/>
          <w:color w:val="232323"/>
          <w:sz w:val="21"/>
        </w:rPr>
        <w:t>Ⅴ. 명제의 진위와 사례 분석 ··························· 5</w:t>
      </w:r>
    </w:p>
    <w:p>
      <w:pPr>
        <w:spacing w:after="80"/>
        <w:ind w:left="1152" w:right="1152"/>
      </w:pPr>
      <w:r>
        <w:rPr>
          <w:rFonts w:ascii="Malgun Gothic" w:hAnsi="Malgun Gothic" w:eastAsia="Malgun Gothic"/>
          <w:b w:val="0"/>
          <w:color w:val="232323"/>
          <w:sz w:val="21"/>
        </w:rPr>
        <w:t>Ⅵ. 결론 및 참고문헌 ································· 6</w:t>
      </w:r>
    </w:p>
    <w:p>
      <w:r>
        <w:br w:type="page"/>
      </w:r>
    </w:p>
    <w:p>
      <w:pPr>
        <w:pStyle w:val="Heading1"/>
      </w:pPr>
      <w:r>
        <w:t>Ⅰ. 서론</w:t>
      </w:r>
    </w:p>
    <w:p>
      <w:pPr>
        <w:ind w:firstLine="403"/>
      </w:pPr>
      <w:r>
        <w:rPr>
          <w:rFonts w:ascii="Malgun Gothic" w:hAnsi="Malgun Gothic" w:eastAsia="Malgun Gothic"/>
          <w:b w:val="0"/>
          <w:color w:val="232323"/>
          <w:sz w:val="21"/>
        </w:rPr>
        <w:t>기업의 비용곡선을 해석할 때 단기와 장기의 구분은 단순한 달력상의 기간이 아니라 생산요소를 조정할 수 있는 범위에 의해 결정된다. 단기에는 공장 규모나 설비처럼 적어도 하나의 생산요소가 고정되어 있지만, 장기에는 모든 생산요소가 가변적이다. 따라서 단기평균비용곡선과 장기평균비용곡선의 형태를 설명하는 원리도 구분해야 한다.</w:t>
      </w:r>
    </w:p>
    <w:p>
      <w:pPr>
        <w:ind w:firstLine="403"/>
      </w:pPr>
      <w:r>
        <w:rPr>
          <w:rFonts w:ascii="Malgun Gothic" w:hAnsi="Malgun Gothic" w:eastAsia="Malgun Gothic"/>
          <w:b w:val="0"/>
          <w:color w:val="232323"/>
          <w:sz w:val="21"/>
        </w:rPr>
        <w:t>“장기평균비용곡선이 U자형을 나타내는 이유는 수확체감 때문이다”라는 명제는 비용 증가를 생산성 저하와 연결한다는 점에서 그럴듯해 보인다. 그러나 수확체감의 법칙은 고정요소가 존재하는 단기 분석의 개념인 반면, 장기평균비용은 모든 투입요소를 비례적으로 변화시킬 때 나타나는 규모의 경제와 규모의 불경제에 의해 설명된다. 본 보고서는 두 개념을 구분하고 해당 명제가 엄밀히는 거짓임을 논증한다.</w:t>
      </w:r>
    </w:p>
    <w:p>
      <w:pPr>
        <w:pStyle w:val="Heading1"/>
      </w:pPr>
      <w:r>
        <w:t>Ⅱ. 단기와 장기의 생산 및 비용</w:t>
      </w:r>
    </w:p>
    <w:p>
      <w:pPr>
        <w:pStyle w:val="Heading2"/>
      </w:pPr>
      <w:r>
        <w:t>1. 단기의 의미와 비용</w:t>
      </w:r>
    </w:p>
    <w:p>
      <w:pPr>
        <w:ind w:firstLine="403"/>
      </w:pPr>
      <w:r>
        <w:rPr>
          <w:rFonts w:ascii="Malgun Gothic" w:hAnsi="Malgun Gothic" w:eastAsia="Malgun Gothic"/>
          <w:b w:val="0"/>
          <w:color w:val="232323"/>
          <w:sz w:val="21"/>
        </w:rPr>
        <w:t>단기에는 자본설비 등 일부 투입요소가 고정되어 있으므로 총비용은 고정비용과 가변비용의 합으로 구성된다. 평균고정비용은 생산량이 늘수록 하락하며, 평균가변비용과 평균총비용은 일반적으로 처음 하락한 뒤 상승한다. 한계비용은 산출량 한 단위를 추가로 생산할 때 증가하는 총비용으로, 평균비용보다 낮으면 평균비용을 끌어내리고 높으면 끌어올린다.</w:t>
      </w:r>
    </w:p>
    <w:p>
      <w:pPr>
        <w:pStyle w:val="Heading2"/>
      </w:pPr>
      <w:r>
        <w:t>2. 장기의 의미와 비용</w:t>
      </w:r>
    </w:p>
    <w:p>
      <w:pPr>
        <w:ind w:firstLine="403"/>
      </w:pPr>
      <w:r>
        <w:rPr>
          <w:rFonts w:ascii="Malgun Gothic" w:hAnsi="Malgun Gothic" w:eastAsia="Malgun Gothic"/>
          <w:b w:val="0"/>
          <w:color w:val="232323"/>
          <w:sz w:val="21"/>
        </w:rPr>
        <w:t>장기에는 노동, 자본, 공장 규모를 모두 조정할 수 있어 고정비용과 가변비용의 구분이 사라진다. 기업은 각 생산량을 달성하는 여러 설비규모 가운데 평균비용이 가장 낮은 조합을 선택할 수 있다. 장기평균비용곡선은 다양한 단기평균비용곡선의 최저 비용점들을 연결한 포락선으로 이해할 수 있으며, 특정 산출량에서 선택 가능한 최적 설비규모를 나타낸다.</w:t>
      </w:r>
    </w:p>
    <w:p>
      <w:r>
        <w:br w:type="page"/>
      </w:r>
    </w:p>
    <w:p>
      <w:pPr>
        <w:pStyle w:val="Heading1"/>
      </w:pPr>
      <w:r>
        <w:t>Ⅲ. 수확체감과 단기비용곡선</w:t>
      </w:r>
    </w:p>
    <w:p>
      <w:pPr>
        <w:pStyle w:val="Heading2"/>
      </w:pPr>
      <w:r>
        <w:t>1. 한계생산체감의 법칙</w:t>
      </w:r>
    </w:p>
    <w:p>
      <w:pPr>
        <w:ind w:firstLine="403"/>
      </w:pPr>
      <w:r>
        <w:rPr>
          <w:rFonts w:ascii="Malgun Gothic" w:hAnsi="Malgun Gothic" w:eastAsia="Malgun Gothic"/>
          <w:b w:val="0"/>
          <w:color w:val="232323"/>
          <w:sz w:val="21"/>
        </w:rPr>
        <w:t>한계생산체감은 기술과 일부 생산요소가 고정된 상태에서 가변요소를 계속 추가하면 일정 지점 이후 가변요소의 한계생산이 감소하는 현상이다. 공장과 기계가 고정된 채 노동자만 늘리면 초기에는 분업으로 생산량이 빠르게 증가할 수 있지만, 이후에는 작업공간과 기계를 두고 혼잡이 발생하여 추가 노동자의 기여가 줄어든다. 핵심 조건은 적어도 하나의 투입요소가 고정되어 있다는 점이다.</w:t>
      </w:r>
    </w:p>
    <w:p>
      <w:pPr>
        <w:pStyle w:val="Heading2"/>
      </w:pPr>
      <w:r>
        <w:t>2. 한계생산과 한계비용의 관계</w:t>
      </w:r>
    </w:p>
    <w:p>
      <w:pPr>
        <w:ind w:firstLine="403"/>
      </w:pPr>
      <w:r>
        <w:rPr>
          <w:rFonts w:ascii="Malgun Gothic" w:hAnsi="Malgun Gothic" w:eastAsia="Malgun Gothic"/>
          <w:b w:val="0"/>
          <w:color w:val="232323"/>
          <w:sz w:val="21"/>
        </w:rPr>
        <w:t>가변투입요소의 단위가격이 일정하다면 한계생산과 한계비용은 역의 관계를 가진다. 추가 노동자의 생산량이 증가하는 구간에서는 한 단위 산출을 늘리는 데 필요한 노동이 감소하여 한계비용이 하락한다. 한계생산이 체감하기 시작하면 추가 산출에 더 많은 노동이 필요하므로 한계비용이 상승한다. 이 상승이 평균가변비용과 단기평균총비용의 상승 부분을 설명한다.</w:t>
      </w:r>
    </w:p>
    <w:p>
      <w:pPr>
        <w:pStyle w:val="Heading2"/>
      </w:pPr>
      <w:r>
        <w:t>3. 수확체감 적용의 범위</w:t>
      </w:r>
    </w:p>
    <w:p>
      <w:pPr>
        <w:ind w:firstLine="403"/>
      </w:pPr>
      <w:r>
        <w:rPr>
          <w:rFonts w:ascii="Malgun Gothic" w:hAnsi="Malgun Gothic" w:eastAsia="Malgun Gothic"/>
          <w:b w:val="0"/>
          <w:color w:val="232323"/>
          <w:sz w:val="21"/>
        </w:rPr>
        <w:t>수확체감은 모든 투입요소를 함께 늘리는 장기 현상을 뜻하지 않는다. 고정된 토지에 비료만 계속 투입하거나 고정된 주방에 조리사만 추가하는 것처럼 투입비율이 변하는 상황에 적용된다. 따라서 수확체감으로 장기평균비용곡선의 상승을 직접 설명하면 분석기간과 변화시키는 생산요소의 범위를 혼동하게 된다.</w:t>
      </w:r>
    </w:p>
    <w:p>
      <w:r>
        <w:br w:type="page"/>
      </w:r>
    </w:p>
    <w:p>
      <w:pPr>
        <w:pStyle w:val="Heading1"/>
      </w:pPr>
      <w:r>
        <w:t>Ⅳ. 장기평균비용곡선의 형성</w:t>
      </w:r>
    </w:p>
    <w:p>
      <w:pPr>
        <w:pStyle w:val="Heading2"/>
      </w:pPr>
      <w:r>
        <w:t>1. 규모의 경제</w:t>
      </w:r>
    </w:p>
    <w:p>
      <w:pPr>
        <w:ind w:firstLine="403"/>
      </w:pPr>
      <w:r>
        <w:rPr>
          <w:rFonts w:ascii="Malgun Gothic" w:hAnsi="Malgun Gothic" w:eastAsia="Malgun Gothic"/>
          <w:b w:val="0"/>
          <w:color w:val="232323"/>
          <w:sz w:val="21"/>
        </w:rPr>
        <w:t>생산규모가 확대될 때 장기평균비용이 하락하는 현상을 규모의 경제라고 한다. 고정적인 연구개발비와 광고비를 더 많은 생산량에 분산하고, 대형설비를 효율적으로 사용하며, 노동과 경영을 전문화하고 대량구매의 협상력을 확보할 수 있기 때문이다. 생산량 증가율이 모든 투입요소의 증가율보다 크다면 규모수익체증이 나타나며 비용 측면에서는 평균비용 하락으로 이어진다.</w:t>
      </w:r>
    </w:p>
    <w:p>
      <w:pPr>
        <w:pStyle w:val="Heading2"/>
      </w:pPr>
      <w:r>
        <w:t>2. 규모수익불변과 최소효율규모</w:t>
      </w:r>
    </w:p>
    <w:p>
      <w:pPr>
        <w:ind w:firstLine="403"/>
      </w:pPr>
      <w:r>
        <w:rPr>
          <w:rFonts w:ascii="Malgun Gothic" w:hAnsi="Malgun Gothic" w:eastAsia="Malgun Gothic"/>
          <w:b w:val="0"/>
          <w:color w:val="232323"/>
          <w:sz w:val="21"/>
        </w:rPr>
        <w:t>모든 투입요소를 일정 비율로 늘렸을 때 산출량도 같은 비율로 증가하면 규모수익불변이다. 이 구간에서는 장기평균비용이 대체로 일정하게 유지된다. 장기평균비용이 최저 수준에 도달하는 가장 작은 생산규모를 최소효율규모라고 하며, 산업의 시장구조와 진입 가능성을 이해하는 데 중요한 기준이 된다.</w:t>
      </w:r>
    </w:p>
    <w:p>
      <w:pPr>
        <w:pStyle w:val="Heading2"/>
      </w:pPr>
      <w:r>
        <w:t>3. 규모의 불경제</w:t>
      </w:r>
    </w:p>
    <w:p>
      <w:pPr>
        <w:ind w:firstLine="403"/>
      </w:pPr>
      <w:r>
        <w:rPr>
          <w:rFonts w:ascii="Malgun Gothic" w:hAnsi="Malgun Gothic" w:eastAsia="Malgun Gothic"/>
          <w:b w:val="0"/>
          <w:color w:val="232323"/>
          <w:sz w:val="21"/>
        </w:rPr>
        <w:t>생산규모가 지나치게 커지면 장기평균비용이 상승할 수 있는데 이를 규모의 불경제라고 한다. 조직계층 증가에 따른 의사소통 지연, 관리와 감시의 어려움, 부서 간 목표 충돌, 관료화, 근로자의 소외, 물류 복잡성 등이 원인이 된다. 이는 모든 요소가 가변적인 상태에서 조직과 조정의 비효율이 확대되는 현상으로, 고정요소의 제약 때문에 생기는 수확체감과 구별된다.</w:t>
      </w:r>
    </w:p>
    <w:p>
      <w:pPr>
        <w:pStyle w:val="Heading2"/>
      </w:pPr>
      <w:r>
        <w:t>4. 현대적 장기평균비용곡선</w:t>
      </w:r>
    </w:p>
    <w:p>
      <w:pPr>
        <w:ind w:firstLine="403"/>
      </w:pPr>
      <w:r>
        <w:rPr>
          <w:rFonts w:ascii="Malgun Gothic" w:hAnsi="Malgun Gothic" w:eastAsia="Malgun Gothic"/>
          <w:b w:val="0"/>
          <w:color w:val="232323"/>
          <w:sz w:val="21"/>
        </w:rPr>
        <w:t>교과서에서는 규모의 경제와 불경제를 직관적으로 보여주기 위해 장기평균비용곡선을 U자형으로 그리는 경우가 많다. 그러나 실제 산업에서는 최소비용 구간이 넓어 L자형 또는 접시형에 가까울 수 있고, 디지털 상품처럼 추가 복제비용이 매우 낮은 산업에서는 상당한 생산범위에서 평균비용이 계속 하락할 수도 있다. 그러므로 U자형은 유용한 전형일 뿐 보편적 자연법칙은 아니다.</w:t>
      </w:r>
    </w:p>
    <w:p>
      <w:r>
        <w:br w:type="page"/>
      </w:r>
    </w:p>
    <w:p>
      <w:pPr>
        <w:pStyle w:val="Heading1"/>
      </w:pPr>
      <w:r>
        <w:t>Ⅴ. 명제의 진위와 사례 분석</w:t>
      </w:r>
    </w:p>
    <w:p>
      <w:pPr>
        <w:pStyle w:val="Heading2"/>
      </w:pPr>
      <w:r>
        <w:t>1. 명제에 대한 판단</w:t>
      </w:r>
    </w:p>
    <w:p>
      <w:pPr>
        <w:ind w:firstLine="403"/>
      </w:pPr>
      <w:r>
        <w:rPr>
          <w:rFonts w:ascii="Malgun Gothic" w:hAnsi="Malgun Gothic" w:eastAsia="Malgun Gothic"/>
          <w:b w:val="0"/>
          <w:color w:val="232323"/>
          <w:sz w:val="21"/>
        </w:rPr>
        <w:t>해당 명제는 엄밀한 경제학적 의미에서 거짓이다. 수확체감은 하나 이상의 생산요소가 고정된 단기에서 가변요소의 한계생산이 감소하는 현상이며, 단기 한계비용과 평균비용의 상승을 설명한다. 반면 장기에는 모든 생산요소와 설비규모를 조정할 수 있으므로 장기평균비용곡선의 하락과 상승은 규모의 경제와 규모의 불경제로 설명해야 한다.</w:t>
      </w:r>
    </w:p>
    <w:p>
      <w:pPr>
        <w:pStyle w:val="Heading2"/>
      </w:pPr>
      <w:r>
        <w:t>2. 혼동이 발생하는 이유</w:t>
      </w:r>
    </w:p>
    <w:p>
      <w:pPr>
        <w:ind w:firstLine="403"/>
      </w:pPr>
      <w:r>
        <w:rPr>
          <w:rFonts w:ascii="Malgun Gothic" w:hAnsi="Malgun Gothic" w:eastAsia="Malgun Gothic"/>
          <w:b w:val="0"/>
          <w:color w:val="232323"/>
          <w:sz w:val="21"/>
        </w:rPr>
        <w:t>두 현상 모두 생산량이 일정 수준을 넘으면 비용이 상승하는 모습으로 관찰될 수 있기 때문에 혼동된다. 그러나 단기 공장에서 노동자를 추가해 혼잡이 발생하는 것과, 기업 전체 규모가 커져 관리계층과 조정비용이 증가하는 것은 원인과 정책적 대응이 다르다. 전자는 설비 확장이나 투입비율 조정으로 완화할 수 있고, 후자는 조직구조 개선, 사업부 분권화, 정보시스템과 관리방식의 변화가 필요하다.</w:t>
      </w:r>
    </w:p>
    <w:p>
      <w:pPr>
        <w:pStyle w:val="Heading2"/>
      </w:pPr>
      <w:r>
        <w:t>3. 제조업 사례</w:t>
      </w:r>
    </w:p>
    <w:p>
      <w:pPr>
        <w:ind w:firstLine="403"/>
      </w:pPr>
      <w:r>
        <w:rPr>
          <w:rFonts w:ascii="Malgun Gothic" w:hAnsi="Malgun Gothic" w:eastAsia="Malgun Gothic"/>
          <w:b w:val="0"/>
          <w:color w:val="232323"/>
          <w:sz w:val="21"/>
        </w:rPr>
        <w:t>자동차 부품기업이 기존 공장과 기계를 그대로 둔 채 야간 근무인력만 계속 늘린다면 작업공간의 혼잡과 장비 대기로 노동의 한계생산이 낮아지고 단기 한계비용이 상승한다. 반대로 장기에는 공장을 증설하고 자동화설비와 인력을 함께 늘릴 수 있다. 초기에는 전문화와 대량구매로 평균비용이 하락하지만, 전국의 여러 공장을 지나치게 확장하면 품질관리와 물류조정 비용이 커져 장기평균비용이 상승할 수 있다.</w:t>
      </w:r>
    </w:p>
    <w:p>
      <w:pPr>
        <w:pStyle w:val="Heading2"/>
      </w:pPr>
      <w:r>
        <w:t>4. 디지털 산업 사례와 시사점</w:t>
      </w:r>
    </w:p>
    <w:p>
      <w:pPr>
        <w:ind w:firstLine="403"/>
      </w:pPr>
      <w:r>
        <w:rPr>
          <w:rFonts w:ascii="Malgun Gothic" w:hAnsi="Malgun Gothic" w:eastAsia="Malgun Gothic"/>
          <w:b w:val="0"/>
          <w:color w:val="232323"/>
          <w:sz w:val="21"/>
        </w:rPr>
        <w:t>소프트웨어나 온라인 플랫폼은 개발 초기의 고정비용이 크지만 추가 이용자에게 서비스를 제공하는 한계비용이 낮다. 네트워크 효과까지 존재하면 상당한 범위에서 장기평균비용이 계속 하락할 수 있으므로 전통적인 대칭 U자형이 나타나지 않을 수 있다. 이 사례는 장기비용곡선의 실제 형태가 기술, 조직, 시장범위에 따라 달라지며 수확체감 하나로 일반화할 수 없음을 보여준다.</w:t>
      </w:r>
    </w:p>
    <w:p>
      <w:pPr>
        <w:pStyle w:val="Heading1"/>
      </w:pPr>
      <w:r>
        <w:t>Ⅵ. 결론</w:t>
      </w:r>
    </w:p>
    <w:p>
      <w:pPr>
        <w:ind w:firstLine="403"/>
      </w:pPr>
      <w:r>
        <w:rPr>
          <w:rFonts w:ascii="Malgun Gothic" w:hAnsi="Malgun Gothic" w:eastAsia="Malgun Gothic"/>
          <w:b w:val="0"/>
          <w:color w:val="232323"/>
          <w:sz w:val="21"/>
        </w:rPr>
        <w:t>수확체감의 법칙은 고정요소가 존재하는 단기에서 가변요소의 한계생산이 감소하여 한계비용과 단기평균비용이 상승하는 이유를 설명한다. 장기에는 모든 생산요소가 가변적이므로 기업은 설비규모와 투입조합을 선택할 수 있으며, 장기평균비용곡선의 형태는 전문화와 비용분산에 따른 규모의 경제, 그리고 관리·조정의 복잡성에 따른 규모의 불경제에 의해 결정된다.</w:t>
      </w:r>
    </w:p>
    <w:p>
      <w:pPr>
        <w:ind w:firstLine="403"/>
      </w:pPr>
      <w:r>
        <w:rPr>
          <w:rFonts w:ascii="Malgun Gothic" w:hAnsi="Malgun Gothic" w:eastAsia="Malgun Gothic"/>
          <w:b w:val="0"/>
          <w:color w:val="232323"/>
          <w:sz w:val="21"/>
        </w:rPr>
        <w:t>따라서 “장기평균비용곡선이 U자형인 이유는 수확체감 때문이다”라는 명제는 단기와 장기의 생산원리를 혼동한 것으로 거짓이다. 더 정확한 진술은 장기평균비용이 규모의 경제로 하락하고 규모의 불경제로 상승할 때 U자형이 나타난다는 것이다. 또한 실제 곡선은 산업기술과 비용구조에 따라 L자형이나 평탄한 구간을 가질 수 있으므로 U자형 자체도 경험적으로 검토해야 한다.</w:t>
      </w:r>
    </w:p>
    <w:p>
      <w:pPr>
        <w:pStyle w:val="Heading1"/>
      </w:pPr>
      <w:r>
        <w:t>참고문헌</w:t>
      </w:r>
    </w:p>
    <w:p>
      <w:pPr>
        <w:spacing w:line="324" w:lineRule="auto" w:after="100"/>
        <w:ind w:left="360"/>
      </w:pPr>
      <w:r>
        <w:rPr>
          <w:rFonts w:ascii="Malgun Gothic" w:hAnsi="Malgun Gothic" w:eastAsia="Malgun Gothic"/>
          <w:b w:val="0"/>
          <w:color w:val="232323"/>
          <w:sz w:val="19"/>
        </w:rPr>
        <w:t>김대식·노영기·안국신. (2018). 『현대경제학원론』. 박영사.</w:t>
      </w:r>
    </w:p>
    <w:p>
      <w:pPr>
        <w:spacing w:line="324" w:lineRule="auto" w:after="100"/>
        <w:ind w:left="360"/>
      </w:pPr>
      <w:r>
        <w:rPr>
          <w:rFonts w:ascii="Malgun Gothic" w:hAnsi="Malgun Gothic" w:eastAsia="Malgun Gothic"/>
          <w:b w:val="0"/>
          <w:color w:val="232323"/>
          <w:sz w:val="19"/>
        </w:rPr>
        <w:t>이준구·이창용. (2020). 『경제학원론』. 문우사.</w:t>
      </w:r>
    </w:p>
    <w:p>
      <w:pPr>
        <w:spacing w:line="324" w:lineRule="auto" w:after="100"/>
        <w:ind w:left="360"/>
      </w:pPr>
      <w:r>
        <w:rPr>
          <w:rFonts w:ascii="Malgun Gothic" w:hAnsi="Malgun Gothic" w:eastAsia="Malgun Gothic"/>
          <w:b w:val="0"/>
          <w:color w:val="232323"/>
          <w:sz w:val="19"/>
        </w:rPr>
        <w:t>Mankiw, N. G. (2021). Principles of economics (9th ed.). Cengage Learning.</w:t>
      </w:r>
    </w:p>
    <w:p>
      <w:pPr>
        <w:spacing w:line="324" w:lineRule="auto" w:after="100"/>
        <w:ind w:left="360"/>
      </w:pPr>
      <w:r>
        <w:rPr>
          <w:rFonts w:ascii="Malgun Gothic" w:hAnsi="Malgun Gothic" w:eastAsia="Malgun Gothic"/>
          <w:b w:val="0"/>
          <w:color w:val="232323"/>
          <w:sz w:val="19"/>
        </w:rPr>
        <w:t>Pindyck, R. S., &amp; Rubinfeld, D. L. (2018). Microeconomics (9th ed.). Pearson.</w:t>
      </w:r>
    </w:p>
    <w:p>
      <w:pPr>
        <w:spacing w:line="324" w:lineRule="auto" w:after="100"/>
        <w:ind w:left="360"/>
      </w:pPr>
      <w:r>
        <w:rPr>
          <w:rFonts w:ascii="Malgun Gothic" w:hAnsi="Malgun Gothic" w:eastAsia="Malgun Gothic"/>
          <w:b w:val="0"/>
          <w:color w:val="232323"/>
          <w:sz w:val="19"/>
        </w:rPr>
        <w:t>Varian, H. R. (2014). Intermediate microeconomics: A modern approach (9th ed.). W. W. Norton.</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