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400"/>
        <w:jc w:val="center"/>
      </w:pPr>
      <w:r>
        <w:rPr>
          <w:rFonts w:ascii="Malgun Gothic" w:hAnsi="Malgun Gothic" w:eastAsia="Malgun Gothic"/>
          <w:b/>
          <w:color w:val="1F4E79"/>
          <w:sz w:val="34"/>
        </w:rPr>
        <w:t>부모교육론</w:t>
      </w:r>
    </w:p>
    <w:p>
      <w:pPr>
        <w:spacing w:after="500"/>
        <w:jc w:val="center"/>
      </w:pPr>
      <w:r>
        <w:rPr>
          <w:rFonts w:ascii="Malgun Gothic" w:hAnsi="Malgun Gothic" w:eastAsia="Malgun Gothic"/>
          <w:b/>
          <w:color w:val="232323"/>
          <w:sz w:val="52"/>
        </w:rPr>
        <w:t>과 제 보 고 서</w:t>
      </w:r>
    </w:p>
    <w:p>
      <w:pPr>
        <w:spacing w:after="700"/>
        <w:jc w:val="center"/>
        <w:shd w:fill="EAF1F8"/>
      </w:pPr>
      <w:r>
        <w:rPr>
          <w:rFonts w:ascii="Malgun Gothic" w:hAnsi="Malgun Gothic" w:eastAsia="Malgun Gothic"/>
          <w:b/>
          <w:color w:val="1F4E79"/>
          <w:sz w:val="26"/>
        </w:rPr>
        <w:t>민주적 부모교육 이론과 아들러 심리학의 주요 개념을 설명하고 부모교육에의 적용방안을 서술하시오.</w:t>
      </w:r>
    </w:p>
    <w:p>
      <w:pPr>
        <w:spacing w:before="300" w:after="240"/>
        <w:jc w:val="center"/>
      </w:pPr>
      <w:r>
        <w:rPr>
          <w:rFonts w:ascii="Malgun Gothic" w:hAnsi="Malgun Gothic" w:eastAsia="Malgun Gothic"/>
          <w:b/>
          <w:color w:val="232323"/>
          <w:sz w:val="30"/>
        </w:rPr>
        <w:t>목    차</w:t>
      </w:r>
    </w:p>
    <w:p>
      <w:pPr>
        <w:spacing w:after="80"/>
        <w:ind w:left="1152" w:right="1152"/>
      </w:pPr>
      <w:r>
        <w:rPr>
          <w:rFonts w:ascii="Malgun Gothic" w:hAnsi="Malgun Gothic" w:eastAsia="Malgun Gothic"/>
          <w:b w:val="0"/>
          <w:color w:val="232323"/>
          <w:sz w:val="21"/>
        </w:rPr>
        <w:t>Ⅰ. 서론 ············································· 2</w:t>
      </w:r>
    </w:p>
    <w:p>
      <w:pPr>
        <w:spacing w:after="80"/>
        <w:ind w:left="1152" w:right="1152"/>
      </w:pPr>
      <w:r>
        <w:rPr>
          <w:rFonts w:ascii="Malgun Gothic" w:hAnsi="Malgun Gothic" w:eastAsia="Malgun Gothic"/>
          <w:b w:val="0"/>
          <w:color w:val="232323"/>
          <w:sz w:val="21"/>
        </w:rPr>
        <w:t>Ⅱ. 아들러 개인심리학의 주요 개념 ··················· 2</w:t>
      </w:r>
    </w:p>
    <w:p>
      <w:pPr>
        <w:spacing w:after="80"/>
        <w:ind w:left="1152" w:right="1152"/>
      </w:pPr>
      <w:r>
        <w:rPr>
          <w:rFonts w:ascii="Malgun Gothic" w:hAnsi="Malgun Gothic" w:eastAsia="Malgun Gothic"/>
          <w:b w:val="0"/>
          <w:color w:val="232323"/>
          <w:sz w:val="21"/>
        </w:rPr>
        <w:t>Ⅲ. 민주적 부모교육 이론 ····························· 3</w:t>
      </w:r>
    </w:p>
    <w:p>
      <w:pPr>
        <w:spacing w:after="80"/>
        <w:ind w:left="1152" w:right="1152"/>
      </w:pPr>
      <w:r>
        <w:rPr>
          <w:rFonts w:ascii="Malgun Gothic" w:hAnsi="Malgun Gothic" w:eastAsia="Malgun Gothic"/>
          <w:b w:val="0"/>
          <w:color w:val="232323"/>
          <w:sz w:val="21"/>
        </w:rPr>
        <w:t>Ⅳ. 부모교육 적용방안 ································· 4</w:t>
      </w:r>
    </w:p>
    <w:p>
      <w:pPr>
        <w:spacing w:after="80"/>
        <w:ind w:left="1152" w:right="1152"/>
      </w:pPr>
      <w:r>
        <w:rPr>
          <w:rFonts w:ascii="Malgun Gothic" w:hAnsi="Malgun Gothic" w:eastAsia="Malgun Gothic"/>
          <w:b w:val="0"/>
          <w:color w:val="232323"/>
          <w:sz w:val="21"/>
        </w:rPr>
        <w:t>Ⅴ. 사례를 통한 적용 ································· 5</w:t>
      </w:r>
    </w:p>
    <w:p>
      <w:pPr>
        <w:spacing w:after="80"/>
        <w:ind w:left="1152" w:right="1152"/>
      </w:pPr>
      <w:r>
        <w:rPr>
          <w:rFonts w:ascii="Malgun Gothic" w:hAnsi="Malgun Gothic" w:eastAsia="Malgun Gothic"/>
          <w:b w:val="0"/>
          <w:color w:val="232323"/>
          <w:sz w:val="21"/>
        </w:rPr>
        <w:t>Ⅵ. 결론 및 참고문헌 ································· 6</w:t>
      </w:r>
    </w:p>
    <w:p>
      <w:r>
        <w:br w:type="page"/>
      </w:r>
    </w:p>
    <w:p>
      <w:pPr>
        <w:pStyle w:val="Heading1"/>
      </w:pPr>
      <w:r>
        <w:t>Ⅰ. 서론</w:t>
      </w:r>
    </w:p>
    <w:p>
      <w:pPr>
        <w:ind w:firstLine="403"/>
      </w:pPr>
      <w:r>
        <w:rPr>
          <w:rFonts w:ascii="Malgun Gothic" w:hAnsi="Malgun Gothic" w:eastAsia="Malgun Gothic"/>
          <w:b w:val="0"/>
          <w:color w:val="232323"/>
          <w:sz w:val="21"/>
        </w:rPr>
        <w:t>부모교육은 부모에게 지식을 전달하는 데 그치지 않고 부모와 자녀가 상호존중의 관계를 형성하도록 돕는 과정이다. 권위주의적 통제는 단기적으로 복종을 얻을 수 있으나 자녀의 자율성과 책임감 발달을 제한할 수 있고, 무제한적 허용 역시 사회적 한계와 협동을 배우기 어렵게 한다. 드라이커스(Dreikurs)의 민주적 부모교육은 아들러(Adler)의 개인심리학을 토대로 존중과 책임이 조화를 이루는 양육을 강조한다.</w:t>
      </w:r>
    </w:p>
    <w:p>
      <w:pPr>
        <w:ind w:firstLine="403"/>
      </w:pPr>
      <w:r>
        <w:rPr>
          <w:rFonts w:ascii="Malgun Gothic" w:hAnsi="Malgun Gothic" w:eastAsia="Malgun Gothic"/>
          <w:b w:val="0"/>
          <w:color w:val="232323"/>
          <w:sz w:val="21"/>
        </w:rPr>
        <w:t>본 보고서는 아들러 심리학의 인간관과 주요 개념을 설명하고, 이를 계승한 민주적 부모교육의 원리와 자녀의 잘못된 행동목표를 살펴본다. 이어 부모가 일상에서 사용할 수 있는 격려, 반영적 경청, 자연적·논리적 결과, 가족회의의 적용방안을 제시하고 사례를 통해 실천상 유의점을 논하고자 한다.</w:t>
      </w:r>
    </w:p>
    <w:p>
      <w:pPr>
        <w:pStyle w:val="Heading1"/>
      </w:pPr>
      <w:r>
        <w:t>Ⅱ. 아들러 개인심리학의 주요 개념</w:t>
      </w:r>
    </w:p>
    <w:p>
      <w:pPr>
        <w:pStyle w:val="Heading2"/>
      </w:pPr>
      <w:r>
        <w:t>1. 목적론적·전체론적 인간관</w:t>
      </w:r>
    </w:p>
    <w:p>
      <w:pPr>
        <w:ind w:firstLine="403"/>
      </w:pPr>
      <w:r>
        <w:rPr>
          <w:rFonts w:ascii="Malgun Gothic" w:hAnsi="Malgun Gothic" w:eastAsia="Malgun Gothic"/>
          <w:b w:val="0"/>
          <w:color w:val="232323"/>
          <w:sz w:val="21"/>
        </w:rPr>
        <w:t>아들러는 인간의 행동을 과거 원인의 기계적 결과가 아니라 자신이 지향하는 목표를 향한 선택으로 보았다. 따라서 문제행동도 무의미한 일탈이 아니라 소속감과 중요성을 얻기 위한 나름의 목적을 지닌다. 또한 사고, 감정, 행동을 분리하기보다 하나의 통합된 생활양식으로 이해하며, 개인은 사회적 관계 속에서 의미를 구성하는 능동적 존재라고 본다.</w:t>
      </w:r>
    </w:p>
    <w:p>
      <w:pPr>
        <w:pStyle w:val="Heading2"/>
      </w:pPr>
      <w:r>
        <w:t>2. 열등감과 우월성 추구</w:t>
      </w:r>
    </w:p>
    <w:p>
      <w:pPr>
        <w:ind w:firstLine="403"/>
      </w:pPr>
      <w:r>
        <w:rPr>
          <w:rFonts w:ascii="Malgun Gothic" w:hAnsi="Malgun Gothic" w:eastAsia="Malgun Gothic"/>
          <w:b w:val="0"/>
          <w:color w:val="232323"/>
          <w:sz w:val="21"/>
        </w:rPr>
        <w:t>인간은 누구나 불완전함과 열등감을 경험하며 이를 극복하여 더 유능하고 완전한 상태로 나아가려 한다. 적절한 열등감은 성장의 동력이 되지만, 과도한 열등감이나 왜곡된 우월성 추구는 타인을 지배하거나 과제를 회피하는 행동으로 나타날 수 있다. 부모는 비교와 낙인으로 열등감을 강화하기보다 노력과 기여를 인정해야 한다.</w:t>
      </w:r>
    </w:p>
    <w:p>
      <w:pPr>
        <w:pStyle w:val="Heading2"/>
      </w:pPr>
      <w:r>
        <w:t>3. 생활양식과 창조적 자아</w:t>
      </w:r>
    </w:p>
    <w:p>
      <w:pPr>
        <w:ind w:firstLine="403"/>
      </w:pPr>
      <w:r>
        <w:rPr>
          <w:rFonts w:ascii="Malgun Gothic" w:hAnsi="Malgun Gothic" w:eastAsia="Malgun Gothic"/>
          <w:b w:val="0"/>
          <w:color w:val="232323"/>
          <w:sz w:val="21"/>
        </w:rPr>
        <w:t>생활양식은 자신, 타인, 세계에 대해 형성한 신념과 목표, 문제해결 방식의 일관된 패턴이다. 가족 분위기와 초기 경험은 생활양식에 영향을 주지만 개인은 이를 수동적으로 받아들이는 존재가 아니다. 창조적 자아는 경험에 의미를 부여하고 자신의 방향을 선택하는 능력을 뜻하며, 이는 부모교육에서 자녀를 변화 가능한 주체로 존중해야 하는 근거가 된다.</w:t>
      </w:r>
    </w:p>
    <w:p>
      <w:pPr>
        <w:pStyle w:val="Heading2"/>
      </w:pPr>
      <w:r>
        <w:t>4. 사회적 관심과 출생순위</w:t>
      </w:r>
    </w:p>
    <w:p>
      <w:pPr>
        <w:ind w:firstLine="403"/>
      </w:pPr>
      <w:r>
        <w:rPr>
          <w:rFonts w:ascii="Malgun Gothic" w:hAnsi="Malgun Gothic" w:eastAsia="Malgun Gothic"/>
          <w:b w:val="0"/>
          <w:color w:val="232323"/>
          <w:sz w:val="21"/>
        </w:rPr>
        <w:t>사회적 관심은 타인과 협력하고 공동체에 기여하려는 태도로 건강한 성격의 핵심이다. 부모는 경쟁보다 협동, 가족 내 역할과 기여 경험을 제공해야 한다. 출생순위는 장남·차남·막내·외동이 경험할 수 있는 심리적 위치를 이해하는 참고개념이지만, 순위만으로 성격을 결정해서는 안 된다. 중요한 것은 자녀가 자신의 위치를 어떻게 해석하는가이다.</w:t>
      </w:r>
    </w:p>
    <w:p>
      <w:r>
        <w:br w:type="page"/>
      </w:r>
    </w:p>
    <w:p>
      <w:pPr>
        <w:pStyle w:val="Heading1"/>
      </w:pPr>
      <w:r>
        <w:t>Ⅲ. 민주적 부모교육 이론</w:t>
      </w:r>
    </w:p>
    <w:p>
      <w:pPr>
        <w:pStyle w:val="Heading2"/>
      </w:pPr>
      <w:r>
        <w:t>1. 이론의 기본원리</w:t>
      </w:r>
    </w:p>
    <w:p>
      <w:pPr>
        <w:ind w:firstLine="403"/>
      </w:pPr>
      <w:r>
        <w:rPr>
          <w:rFonts w:ascii="Malgun Gothic" w:hAnsi="Malgun Gothic" w:eastAsia="Malgun Gothic"/>
          <w:b w:val="0"/>
          <w:color w:val="232323"/>
          <w:sz w:val="21"/>
        </w:rPr>
        <w:t>민주적 부모교육은 부모와 자녀가 인간으로서 동등한 가치를 지니지만 역할과 책임까지 동일한 것은 아니라고 본다. 부모는 안전과 기본규칙을 책임지되 자녀에게 연령에 맞는 선택권과 참여 기회를 제공한다. 권위주의적 처벌이나 보상에 의한 조종 대신 상호존중, 협동, 자기통제와 책임의 학습을 목표로 한다.</w:t>
      </w:r>
    </w:p>
    <w:p>
      <w:pPr>
        <w:pStyle w:val="Heading2"/>
      </w:pPr>
      <w:r>
        <w:t>2. 잘못된 행동목표</w:t>
      </w:r>
    </w:p>
    <w:p>
      <w:pPr>
        <w:ind w:firstLine="403"/>
      </w:pPr>
      <w:r>
        <w:rPr>
          <w:rFonts w:ascii="Malgun Gothic" w:hAnsi="Malgun Gothic" w:eastAsia="Malgun Gothic"/>
          <w:b w:val="0"/>
          <w:color w:val="232323"/>
          <w:sz w:val="21"/>
        </w:rPr>
        <w:t>드라이커스는 자녀의 부적절한 행동이 관심 끌기, 힘 행사하기, 보복하기, 무능함 보이기라는 네 가지 잘못된 목표와 관련될 수 있다고 설명하였다. 부모가 계속 달래거나 잔소리하게 되면 관심 목표가, 분노하고 승부를 겨루게 되면 힘 목표가 강화될 수 있다. 상처받은 감정과 맞대응 충동은 보복 목표를, 포기하고 대신 해주려는 반응은 무능함 과시 목표를 시사한다. 이는 낙인을 붙이는 진단표가 아니라 상호작용을 재검토하는 가설로 활용해야 한다.</w:t>
      </w:r>
    </w:p>
    <w:p>
      <w:pPr>
        <w:pStyle w:val="Heading2"/>
      </w:pPr>
      <w:r>
        <w:t>3. 격려와 자연적·논리적 결과</w:t>
      </w:r>
    </w:p>
    <w:p>
      <w:pPr>
        <w:ind w:firstLine="403"/>
      </w:pPr>
      <w:r>
        <w:rPr>
          <w:rFonts w:ascii="Malgun Gothic" w:hAnsi="Malgun Gothic" w:eastAsia="Malgun Gothic"/>
          <w:b w:val="0"/>
          <w:color w:val="232323"/>
          <w:sz w:val="21"/>
        </w:rPr>
        <w:t>칭찬이 결과와 타인의 평가에 초점을 둘 수 있는 반면 격려는 노력, 과정, 향상, 기여를 구체적으로 인정하여 내적 동기를 높인다. 자연적 결과는 부모가 개입하지 않아도 행동에서 자연스럽게 생기는 결과이고, 논리적 결과는 행동과 직접 관련되며 사전에 합의된 합리적 책임이다. 결과는 존중적이고 실행 가능해야 하며, 고통을 주기 위한 위장된 처벌이 되어서는 안 된다.</w:t>
      </w:r>
    </w:p>
    <w:p>
      <w:r>
        <w:br w:type="page"/>
      </w:r>
    </w:p>
    <w:p>
      <w:pPr>
        <w:pStyle w:val="Heading1"/>
      </w:pPr>
      <w:r>
        <w:t>Ⅳ. 부모교육에의 적용방안</w:t>
      </w:r>
    </w:p>
    <w:p>
      <w:pPr>
        <w:pStyle w:val="Heading2"/>
      </w:pPr>
      <w:r>
        <w:t>1. 행동의 목적을 탐색하기</w:t>
      </w:r>
    </w:p>
    <w:p>
      <w:pPr>
        <w:ind w:firstLine="403"/>
      </w:pPr>
      <w:r>
        <w:rPr>
          <w:rFonts w:ascii="Malgun Gothic" w:hAnsi="Malgun Gothic" w:eastAsia="Malgun Gothic"/>
          <w:b w:val="0"/>
          <w:color w:val="232323"/>
          <w:sz w:val="21"/>
        </w:rPr>
        <w:t>문제행동 직후 부모 자신의 감정과 반응을 관찰하고 자녀가 무엇을 얻으려 하는지 가설을 세운다. “왜 또 그랬니”라고 추궁하기보다 행동 이전 상황, 부모 반응, 행동 이후 결과를 기록한다. 관심이 목표라면 부적절한 행동에 과도하게 반응하지 않고 평소 긍정적 관심과 공동시간을 계획한다. 힘겨루기라면 제한된 선택권을 제공하고 감정이 진정된 뒤 해결한다.</w:t>
      </w:r>
    </w:p>
    <w:p>
      <w:pPr>
        <w:pStyle w:val="Heading2"/>
      </w:pPr>
      <w:r>
        <w:t>2. 존중적 의사소통과 선택권</w:t>
      </w:r>
    </w:p>
    <w:p>
      <w:pPr>
        <w:ind w:firstLine="403"/>
      </w:pPr>
      <w:r>
        <w:rPr>
          <w:rFonts w:ascii="Malgun Gothic" w:hAnsi="Malgun Gothic" w:eastAsia="Malgun Gothic"/>
          <w:b w:val="0"/>
          <w:color w:val="232323"/>
          <w:sz w:val="21"/>
        </w:rPr>
        <w:t>부모는 자녀의 감정을 수용하되 모든 행동을 허용하지 않는다. “속상했구나. 하지만 때리는 행동은 허용할 수 없어”처럼 감정과 행동을 구분한다. 명령을 반복하기보다 가능한 두세 가지 선택을 제공하고, 부모의 요구는 비난 대신 나-전달법으로 표현한다. 자녀의 말을 요약하고 확인하는 반영적 경청은 이해받는 경험과 문제해결 참여를 높인다.</w:t>
      </w:r>
    </w:p>
    <w:p>
      <w:pPr>
        <w:pStyle w:val="Heading2"/>
      </w:pPr>
      <w:r>
        <w:t>3. 자연적·논리적 결과의 설계</w:t>
      </w:r>
    </w:p>
    <w:p>
      <w:pPr>
        <w:ind w:firstLine="403"/>
      </w:pPr>
      <w:r>
        <w:rPr>
          <w:rFonts w:ascii="Malgun Gothic" w:hAnsi="Malgun Gothic" w:eastAsia="Malgun Gothic"/>
          <w:b w:val="0"/>
          <w:color w:val="232323"/>
          <w:sz w:val="21"/>
        </w:rPr>
        <w:t>안전에 위험이 없고 타인의 권리를 침해하지 않는 상황에서는 자연적 결과를 경험하게 할 수 있다. 논리적 결과는 관련성, 존중성, 합리성, 사전고지의 기준을 충족해야 한다. 장난감을 던지면 장난감을 잠시 안전한 곳에 보관하고 다시 사용할 조건을 함께 정하는 것은 관련성이 있지만, 숙제를 하지 않았다고 휴대전화를 장기간 압수하는 것은 관련성이 약해 처벌로 받아들여질 수 있다.</w:t>
      </w:r>
    </w:p>
    <w:p>
      <w:pPr>
        <w:pStyle w:val="Heading2"/>
      </w:pPr>
      <w:r>
        <w:t>4. 가족회의와 공동문제 해결</w:t>
      </w:r>
    </w:p>
    <w:p>
      <w:pPr>
        <w:ind w:firstLine="403"/>
      </w:pPr>
      <w:r>
        <w:rPr>
          <w:rFonts w:ascii="Malgun Gothic" w:hAnsi="Malgun Gothic" w:eastAsia="Malgun Gothic"/>
          <w:b w:val="0"/>
          <w:color w:val="232323"/>
          <w:sz w:val="21"/>
        </w:rPr>
        <w:t>가족회의에서는 정기적으로 감사와 격려를 나누고, 해결할 문제를 한 가지씩 논의하며 모든 구성원이 아이디어를 제안한다. 실현 가능한 방안을 합의하고 다음 회의에서 결과를 점검한다. 부모가 결론을 미리 정하거나 다수결로 자녀를 압박하기보다 발달수준에 맞는 참여권을 보장해야 한다. 긴급한 안전문제는 부모가 책임 있게 결정하되 이유를 설명한다.</w:t>
      </w:r>
    </w:p>
    <w:p>
      <w:pPr>
        <w:pStyle w:val="Heading2"/>
      </w:pPr>
      <w:r>
        <w:t>5. 부모교육 프로그램 운영</w:t>
      </w:r>
    </w:p>
    <w:p>
      <w:pPr>
        <w:ind w:firstLine="403"/>
      </w:pPr>
      <w:r>
        <w:rPr>
          <w:rFonts w:ascii="Malgun Gothic" w:hAnsi="Malgun Gothic" w:eastAsia="Malgun Gothic"/>
          <w:b w:val="0"/>
          <w:color w:val="232323"/>
          <w:sz w:val="21"/>
        </w:rPr>
        <w:t>교육은 이론 강의, 자기양육경험 성찰, 역할극, 실제 기록지, 가정실습과 피드백을 결합하는 것이 효과적이다. 참가자는 자녀의 행동과 부모 반응을 기록하고 다음 회기에 대안을 검토한다. 연령, 기질, 장애, 문화와 가족형태에 따라 방법을 조정하며 심각한 폭력, 우울, 발달문제가 의심되면 전문상담·의료·복지서비스와 연계해야 한다.</w:t>
      </w:r>
    </w:p>
    <w:p>
      <w:r>
        <w:br w:type="page"/>
      </w:r>
    </w:p>
    <w:p>
      <w:pPr>
        <w:pStyle w:val="Heading1"/>
      </w:pPr>
      <w:r>
        <w:t>Ⅴ. 사례를 통한 적용</w:t>
      </w:r>
    </w:p>
    <w:p>
      <w:pPr>
        <w:pStyle w:val="Heading2"/>
      </w:pPr>
      <w:r>
        <w:t>1. 사례 상황과 행동목표</w:t>
      </w:r>
    </w:p>
    <w:p>
      <w:pPr>
        <w:ind w:firstLine="403"/>
      </w:pPr>
      <w:r>
        <w:rPr>
          <w:rFonts w:ascii="Malgun Gothic" w:hAnsi="Malgun Gothic" w:eastAsia="Malgun Gothic"/>
          <w:b w:val="0"/>
          <w:color w:val="232323"/>
          <w:sz w:val="21"/>
        </w:rPr>
        <w:t>초등학생 자녀가 저녁마다 숙제를 미루고 휴대전화 사용을 중단하라는 말에 “싫어”라고 소리치며 부모와 논쟁하는 상황을 가정한다. 부모가 큰소리로 명령하고 휴대전화를 빼앗을수록 자녀의 저항이 커진다면 행동의 목표는 힘 행사하기일 가능성이 있다. 이때 누가 이기는지를 겨루면 상호존중이 약화되고 갈등이 반복된다.</w:t>
      </w:r>
    </w:p>
    <w:p>
      <w:pPr>
        <w:pStyle w:val="Heading2"/>
      </w:pPr>
      <w:r>
        <w:t>2. 민주적 개입 과정</w:t>
      </w:r>
    </w:p>
    <w:p>
      <w:pPr>
        <w:ind w:firstLine="403"/>
      </w:pPr>
      <w:r>
        <w:rPr>
          <w:rFonts w:ascii="Malgun Gothic" w:hAnsi="Malgun Gothic" w:eastAsia="Malgun Gothic"/>
          <w:b w:val="0"/>
          <w:color w:val="232323"/>
          <w:sz w:val="21"/>
        </w:rPr>
        <w:t>부모는 먼저 감정을 가라앉힌 뒤 “계속 보고 싶은 마음은 이해하지만 숙제와 수면시간도 지켜야 한다”고 감정과 한계를 함께 표현한다. 이어 “지금 20분 하고 휴대전화를 볼지, 10분 쉬고 시작할지”처럼 가능한 선택을 제시한다. 가족회의에서 평일 사용시간과 보관 장소를 함께 정하고, 정해진 시간 이후 사용하면 다음 날 사용할 수 있는 총시간이 그만큼 줄어드는 관련된 논리적 결과를 사전에 합의한다.</w:t>
      </w:r>
    </w:p>
    <w:p>
      <w:pPr>
        <w:ind w:firstLine="403"/>
      </w:pPr>
      <w:r>
        <w:rPr>
          <w:rFonts w:ascii="Malgun Gothic" w:hAnsi="Malgun Gothic" w:eastAsia="Malgun Gothic"/>
          <w:b w:val="0"/>
          <w:color w:val="232323"/>
          <w:sz w:val="21"/>
        </w:rPr>
        <w:t>숙제를 시작했을 때는 “말을 잘 들었네”보다 “쉬는 시간을 정하고 스스로 시작했구나”라고 구체적으로 격려한다. 규칙을 지키지 못한 날에도 인격을 비난하지 않고 합의한 결과를 차분히 적용한다. 일주일 뒤 가족회의에서 규칙의 현실성을 점검하고 필요하면 수정한다. 이 과정은 부모의 권위를 포기하는 것이 아니라 통제의 방식을 처벌에서 책임학습으로 전환하는 것이다.</w:t>
      </w:r>
    </w:p>
    <w:p>
      <w:pPr>
        <w:pStyle w:val="Heading1"/>
      </w:pPr>
      <w:r>
        <w:t>Ⅵ. 결론</w:t>
      </w:r>
    </w:p>
    <w:p>
      <w:pPr>
        <w:ind w:firstLine="403"/>
      </w:pPr>
      <w:r>
        <w:rPr>
          <w:rFonts w:ascii="Malgun Gothic" w:hAnsi="Malgun Gothic" w:eastAsia="Malgun Gothic"/>
          <w:b w:val="0"/>
          <w:color w:val="232323"/>
          <w:sz w:val="21"/>
        </w:rPr>
        <w:t>아들러의 개인심리학은 인간을 목적지향적이고 사회적인 전체로 이해하며 열등감, 우월성 추구, 생활양식, 창조적 자아와 사회적 관심을 강조한다. 드라이커스의 민주적 부모교육은 이러한 관점을 부모-자녀 관계에 적용하여 문제행동의 목적을 이해하고 상호존중, 격려, 선택과 책임을 통해 협동을 배우게 한다.</w:t>
      </w:r>
    </w:p>
    <w:p>
      <w:pPr>
        <w:ind w:firstLine="403"/>
      </w:pPr>
      <w:r>
        <w:rPr>
          <w:rFonts w:ascii="Malgun Gothic" w:hAnsi="Malgun Gothic" w:eastAsia="Malgun Gothic"/>
          <w:b w:val="0"/>
          <w:color w:val="232323"/>
          <w:sz w:val="21"/>
        </w:rPr>
        <w:t>민주적 양육은 방임이나 무조건적 허용이 아니다. 부모는 안전과 권리를 지키는 분명한 한계를 제공하면서 자녀가 해결과정에 참여하도록 해야 한다. 자연적·논리적 결과와 가족회의가 처벌의 다른 이름이 되지 않도록 관련성과 존중성을 점검하고, 자녀의 발달 및 가족문화에 맞추어 방법을 조정할 때 민주적 부모교육의 효과를 높일 수 있다.</w:t>
      </w:r>
    </w:p>
    <w:p>
      <w:pPr>
        <w:pStyle w:val="Heading1"/>
      </w:pPr>
      <w:r>
        <w:t>참고문헌</w:t>
      </w:r>
    </w:p>
    <w:p>
      <w:pPr>
        <w:spacing w:line="324" w:lineRule="auto" w:after="100"/>
        <w:ind w:left="360"/>
      </w:pPr>
      <w:r>
        <w:rPr>
          <w:rFonts w:ascii="Malgun Gothic" w:hAnsi="Malgun Gothic" w:eastAsia="Malgun Gothic"/>
          <w:b w:val="0"/>
          <w:color w:val="232323"/>
          <w:sz w:val="19"/>
        </w:rPr>
        <w:t>김영옥. (2016). 『부모교육』. 공동체.</w:t>
      </w:r>
    </w:p>
    <w:p>
      <w:pPr>
        <w:spacing w:line="324" w:lineRule="auto" w:after="100"/>
        <w:ind w:left="360"/>
      </w:pPr>
      <w:r>
        <w:rPr>
          <w:rFonts w:ascii="Malgun Gothic" w:hAnsi="Malgun Gothic" w:eastAsia="Malgun Gothic"/>
          <w:b w:val="0"/>
          <w:color w:val="232323"/>
          <w:sz w:val="19"/>
        </w:rPr>
        <w:t>정옥분·정순화. (2019). 『부모교육』. 학지사.</w:t>
      </w:r>
    </w:p>
    <w:p>
      <w:pPr>
        <w:spacing w:line="324" w:lineRule="auto" w:after="100"/>
        <w:ind w:left="360"/>
      </w:pPr>
      <w:r>
        <w:rPr>
          <w:rFonts w:ascii="Malgun Gothic" w:hAnsi="Malgun Gothic" w:eastAsia="Malgun Gothic"/>
          <w:b w:val="0"/>
          <w:color w:val="232323"/>
          <w:sz w:val="19"/>
        </w:rPr>
        <w:t>Adler, A. (1927/1954). Understanding human nature. Fawcett.</w:t>
      </w:r>
    </w:p>
    <w:p>
      <w:pPr>
        <w:spacing w:line="324" w:lineRule="auto" w:after="100"/>
        <w:ind w:left="360"/>
      </w:pPr>
      <w:r>
        <w:rPr>
          <w:rFonts w:ascii="Malgun Gothic" w:hAnsi="Malgun Gothic" w:eastAsia="Malgun Gothic"/>
          <w:b w:val="0"/>
          <w:color w:val="232323"/>
          <w:sz w:val="19"/>
        </w:rPr>
        <w:t>Dreikurs, R., &amp; Soltz, V. (1964). Children: The challenge. Hawthorn Books.</w:t>
      </w:r>
    </w:p>
    <w:p>
      <w:pPr>
        <w:spacing w:line="324" w:lineRule="auto" w:after="100"/>
        <w:ind w:left="360"/>
      </w:pPr>
      <w:r>
        <w:rPr>
          <w:rFonts w:ascii="Malgun Gothic" w:hAnsi="Malgun Gothic" w:eastAsia="Malgun Gothic"/>
          <w:b w:val="0"/>
          <w:color w:val="232323"/>
          <w:sz w:val="19"/>
        </w:rPr>
        <w:t>Nelsen, J. (2006). Positive discipline. Ballantine Books.</w:t>
      </w:r>
    </w:p>
    <w:p>
      <w:r>
        <w:br w:type="page"/>
      </w:r>
    </w:p>
    <w:p>
      <w:pPr>
        <w:spacing w:before="1800"/>
        <w:jc w:val="center"/>
      </w:pPr>
      <w:r>
        <w:rPr>
          <w:rFonts w:ascii="Malgun Gothic" w:hAnsi="Malgun Gothic" w:eastAsia="Malgun Gothic"/>
          <w:b/>
          <w:color w:val="B4462D"/>
          <w:sz w:val="36"/>
        </w:rPr>
        <w:t>⚠️ 주의사항</w:t>
      </w:r>
    </w:p>
    <w:p>
      <w:pPr>
        <w:spacing w:line="408" w:lineRule="auto"/>
        <w:jc w:val="center"/>
        <w:shd w:fill="FFF3E8"/>
      </w:pPr>
      <w:r>
        <w:rPr>
          <w:rFonts w:ascii="Malgun Gothic" w:hAnsi="Malgun Gothic" w:eastAsia="Malgun Gothic"/>
          <w:b/>
          <w:color w:val="232323"/>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before="700"/>
        <w:jc w:val="center"/>
      </w:pPr>
      <w:r>
        <w:rPr>
          <w:rFonts w:ascii="Malgun Gothic" w:hAnsi="Malgun Gothic" w:eastAsia="Malgun Gothic"/>
          <w:b/>
          <w:color w:val="1F4E79"/>
          <w:sz w:val="32"/>
        </w:rPr>
        <w:t>📌 과제 수정이 어려우신가요?</w:t>
      </w:r>
    </w:p>
    <w:p>
      <w:pPr>
        <w:jc w:val="center"/>
      </w:pPr>
      <w:r>
        <w:rPr>
          <w:rFonts w:ascii="Malgun Gothic" w:hAnsi="Malgun Gothic" w:eastAsia="Malgun Gothic"/>
          <w:b w:val="0"/>
          <w:color w:val="232323"/>
          <w:sz w:val="22"/>
        </w:rPr>
        <w:t>국민원격교육관리센터에서 1:1 과제 수정 도움을 드립니다.</w:t>
        <w:br/>
        <w:t>아래 연락처로 문의해 주세요.</w:t>
      </w:r>
    </w:p>
    <w:p>
      <w:pPr>
        <w:spacing w:line="432" w:lineRule="auto"/>
        <w:jc w:val="center"/>
      </w:pPr>
      <w:r>
        <w:rPr>
          <w:rFonts w:ascii="Malgun Gothic" w:hAnsi="Malgun Gothic" w:eastAsia="Malgun Gothic"/>
          <w:b/>
          <w:color w:val="1F4E79"/>
          <w:sz w:val="22"/>
        </w:rPr>
        <w:t>📞 전화: 050-7878-7044</w:t>
        <w:br/>
        <w:t>💬 카카오톡: @국민원격교육관리센터</w:t>
        <w:br/>
        <w:t>🕐 운영시간: 평일 10:00–19:00</w:t>
        <w:br/>
        <w:t>🌐 웹사이트: korealms.co.kr</w:t>
      </w:r>
    </w:p>
    <w:sectPr w:rsidR="00FC693F" w:rsidRPr="0006063C" w:rsidSect="00034616">
      <w:footerReference w:type="default" r:id="rId9"/>
      <w:pgSz w:w="11909" w:h="16834"/>
      <w:pgMar w:top="1123" w:right="1238" w:bottom="1037" w:left="1238"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Malgun Gothic" w:hAnsi="Malgun Gothic" w:eastAsia="Malgun Gothic"/>
        <w:b w:val="0"/>
        <w:color w:val="646464"/>
        <w:sz w:val="17"/>
      </w:rPr>
      <w:t xml:space="preserve">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89" w:lineRule="auto" w:after="140"/>
      <w:jc w:val="both"/>
    </w:pPr>
    <w:rPr>
      <w:rFonts w:ascii="Malgun Gothic" w:hAnsi="Malgun Gothic" w:eastAsia="Malgun Gothic"/>
      <w:color w:val="232323"/>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200"/>
      <w:outlineLvl w:val="0"/>
    </w:pPr>
    <w:rPr>
      <w:rFonts w:asciiTheme="majorHAnsi" w:eastAsiaTheme="majorEastAsia" w:hAnsiTheme="majorHAnsi" w:cstheme="majorBidi" w:ascii="Malgun Gothic" w:hAnsi="Malgun Gothic" w:eastAsia="Malgun Gothic"/>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after="120"/>
      <w:outlineLvl w:val="1"/>
    </w:pPr>
    <w:rPr>
      <w:rFonts w:asciiTheme="majorHAnsi" w:eastAsiaTheme="majorEastAsia" w:hAnsiTheme="majorHAnsi" w:cstheme="majorBidi" w:ascii="Malgun Gothic" w:hAnsi="Malgun Gothic" w:eastAsia="Malgun Gothic"/>
      <w:b/>
      <w:bCs/>
      <w:color w:val="1F4E79"/>
      <w:sz w:val="25"/>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Malgun Gothic" w:hAnsi="Malgun Gothic" w:eastAsia="Malgun Gothic"/>
      <w:b/>
      <w:bCs/>
      <w:color w:val="1F4E79"/>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