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360"/>
        <w:pBdr>
          <w:bottom w:val="single" w:sz="18" w:space="1" w:color="1F374E"/>
        </w:pBdr>
      </w:pPr>
    </w:p>
    <w:p>
      <w:pPr>
        <w:spacing w:before="640"/>
        <w:jc w:val="center"/>
      </w:pPr>
      <w:r>
        <w:rPr>
          <w:rFonts w:ascii="Malgun Gothic" w:hAnsi="Malgun Gothic" w:eastAsia="Malgun Gothic"/>
          <w:b/>
          <w:color w:val="486581"/>
          <w:sz w:val="26"/>
        </w:rPr>
        <w:t>심리학개론</w:t>
      </w:r>
    </w:p>
    <w:p>
      <w:pPr>
        <w:pStyle w:val="Title"/>
        <w:spacing w:before="240" w:after="280"/>
        <w:jc w:val="center"/>
      </w:pPr>
      <w:r>
        <w:rPr>
          <w:rFonts w:ascii="Malgun Gothic" w:hAnsi="Malgun Gothic" w:eastAsia="Malgun Gothic"/>
          <w:b/>
          <w:color w:val="1F374E"/>
          <w:sz w:val="48"/>
        </w:rPr>
        <w:t>발달이론의 주요 내용과</w:t>
        <w:br/>
        <w:t>학습자 관점의 비교·평가</w:t>
      </w:r>
    </w:p>
    <w:p>
      <w:pPr>
        <w:pStyle w:val="CoverSubtitle"/>
      </w:pPr>
      <w:r>
        <w:rPr>
          <w:rFonts w:ascii="Malgun Gothic" w:hAnsi="Malgun Gothic" w:eastAsia="Malgun Gothic"/>
          <w:b w:val="0"/>
          <w:color w:val="5A626C"/>
          <w:sz w:val="23"/>
        </w:rPr>
        <w:t>피아제의 인지발달이론 · 에릭슨의 심리사회적 발달이론 · 콜버그의 도덕성 발달이론</w:t>
      </w:r>
    </w:p>
    <w:p>
      <w:pPr>
        <w:spacing w:before="400"/>
        <w:jc w:val="center"/>
      </w:pPr>
      <w:r>
        <w:rPr>
          <w:rFonts w:ascii="Malgun Gothic" w:hAnsi="Malgun Gothic" w:eastAsia="Malgun Gothic"/>
          <w:b w:val="0"/>
          <w:color w:val="5A626C"/>
          <w:sz w:val="19"/>
        </w:rPr>
        <w:t>제출일: ____________________     제출자: ____________________</w:t>
      </w:r>
    </w:p>
    <w:p>
      <w:pPr>
        <w:spacing w:before="480"/>
      </w:pPr>
      <w:r>
        <w:rPr>
          <w:rFonts w:ascii="Malgun Gothic" w:hAnsi="Malgun Gothic" w:eastAsia="Malgun Gothic"/>
          <w:b/>
          <w:color w:val="1F374E"/>
          <w:sz w:val="26"/>
        </w:rPr>
        <w:t>목차</w:t>
      </w:r>
    </w:p>
    <w:tbl>
      <w:tblPr>
        <w:tblW w:type="auto" w:w="0"/>
        <w:jc w:val="center"/>
        <w:tblLayout w:type="autofit"/>
        <w:tblLook w:firstColumn="1" w:firstRow="1" w:lastColumn="0" w:lastRow="0" w:noHBand="0" w:noVBand="1" w:val="04A0"/>
      </w:tblPr>
      <w:tblGrid>
        <w:gridCol w:w="9026"/>
      </w:tblGrid>
      <w:tr>
        <w:tc>
          <w:tcPr>
            <w:tcW w:type="dxa" w:w="9026"/>
            <w:shd w:fill="F5F7FA"/>
            <w:tcMar>
              <w:top w:w="220" w:type="dxa"/>
              <w:start w:w="260" w:type="dxa"/>
              <w:bottom w:w="220" w:type="dxa"/>
              <w:end w:w="260" w:type="dxa"/>
            </w:tcMar>
          </w:tcPr>
          <w:p>
            <w:pPr>
              <w:spacing w:after="60"/>
            </w:pPr>
            <w:r>
              <w:rPr>
                <w:rFonts w:ascii="Malgun Gothic" w:hAnsi="Malgun Gothic" w:eastAsia="Malgun Gothic"/>
                <w:b/>
                <w:color w:val="212529"/>
                <w:sz w:val="20"/>
              </w:rPr>
              <w:t>Ⅰ. 서론</w:t>
            </w:r>
          </w:p>
          <w:p>
            <w:pPr>
              <w:spacing w:after="60"/>
            </w:pPr>
            <w:r>
              <w:rPr>
                <w:rFonts w:ascii="Malgun Gothic" w:hAnsi="Malgun Gothic" w:eastAsia="Malgun Gothic"/>
                <w:b/>
                <w:color w:val="212529"/>
                <w:sz w:val="20"/>
              </w:rPr>
              <w:t>Ⅱ. 본론</w:t>
            </w:r>
          </w:p>
          <w:p>
            <w:pPr>
              <w:spacing w:after="60"/>
            </w:pPr>
            <w:r>
              <w:rPr>
                <w:rFonts w:ascii="Malgun Gothic" w:hAnsi="Malgun Gothic" w:eastAsia="Malgun Gothic"/>
                <w:b w:val="0"/>
                <w:color w:val="212529"/>
                <w:sz w:val="20"/>
              </w:rPr>
              <w:t xml:space="preserve">   1. 피아제의 인지발달이론</w:t>
            </w:r>
          </w:p>
          <w:p>
            <w:pPr>
              <w:spacing w:after="60"/>
            </w:pPr>
            <w:r>
              <w:rPr>
                <w:rFonts w:ascii="Malgun Gothic" w:hAnsi="Malgun Gothic" w:eastAsia="Malgun Gothic"/>
                <w:b w:val="0"/>
                <w:color w:val="212529"/>
                <w:sz w:val="20"/>
              </w:rPr>
              <w:t xml:space="preserve">   2. 에릭슨의 심리사회적 발달이론</w:t>
            </w:r>
          </w:p>
          <w:p>
            <w:pPr>
              <w:spacing w:after="60"/>
            </w:pPr>
            <w:r>
              <w:rPr>
                <w:rFonts w:ascii="Malgun Gothic" w:hAnsi="Malgun Gothic" w:eastAsia="Malgun Gothic"/>
                <w:b w:val="0"/>
                <w:color w:val="212529"/>
                <w:sz w:val="20"/>
              </w:rPr>
              <w:t xml:space="preserve">   3. 콜버그의 도덕성 발달이론</w:t>
            </w:r>
          </w:p>
          <w:p>
            <w:pPr>
              <w:spacing w:after="60"/>
            </w:pPr>
            <w:r>
              <w:rPr>
                <w:rFonts w:ascii="Malgun Gothic" w:hAnsi="Malgun Gothic" w:eastAsia="Malgun Gothic"/>
                <w:b w:val="0"/>
                <w:color w:val="212529"/>
                <w:sz w:val="20"/>
              </w:rPr>
              <w:t xml:space="preserve">   4. 세 이론의 비교 및 종합 평가</w:t>
            </w:r>
          </w:p>
          <w:p>
            <w:pPr>
              <w:spacing w:after="60"/>
            </w:pPr>
            <w:r>
              <w:rPr>
                <w:rFonts w:ascii="Malgun Gothic" w:hAnsi="Malgun Gothic" w:eastAsia="Malgun Gothic"/>
                <w:b/>
                <w:color w:val="212529"/>
                <w:sz w:val="20"/>
              </w:rPr>
              <w:t>Ⅲ. 결론</w:t>
            </w:r>
          </w:p>
          <w:p>
            <w:pPr>
              <w:spacing w:after="60"/>
            </w:pPr>
            <w:r>
              <w:rPr>
                <w:rFonts w:ascii="Malgun Gothic" w:hAnsi="Malgun Gothic" w:eastAsia="Malgun Gothic"/>
                <w:b/>
                <w:color w:val="212529"/>
                <w:sz w:val="20"/>
              </w:rPr>
              <w:t>참고문헌</w:t>
            </w:r>
          </w:p>
        </w:tc>
      </w:tr>
    </w:tbl>
    <w:p>
      <w:r>
        <w:br w:type="page"/>
      </w:r>
    </w:p>
    <w:p>
      <w:pPr>
        <w:pStyle w:val="Heading1"/>
      </w:pPr>
      <w:r>
        <w:t>Ⅰ. 서론</w:t>
      </w:r>
    </w:p>
    <w:p>
      <w:pPr>
        <w:spacing w:line="372" w:lineRule="auto" w:after="140"/>
        <w:ind w:firstLine="397"/>
        <w:jc w:val="both"/>
      </w:pPr>
      <w:r>
        <w:rPr>
          <w:rFonts w:ascii="Malgun Gothic" w:hAnsi="Malgun Gothic" w:eastAsia="Malgun Gothic"/>
          <w:color w:val="212529"/>
          <w:sz w:val="21"/>
        </w:rPr>
        <w:t>인간의 발달을 이해하는 일은 심리학의 핵심 과제 가운데 하나이다. 인간은 출생 이후 신체적 성장뿐 아니라 사고 방식, 자아 정체감, 사회적 관계, 가치 판단의 기준까지 지속적으로 변화한다. 이러한 변화가 어떤 원리에 따라 나타나는지를 설명하기 위해 여러 발달이론이 제시되었으며, 그중 피아제의 인지발달이론, 에릭슨의 심리사회적 발달이론, 콜버그의 도덕성 발달이론은 교육과 상담, 부모교육, 사회복지 등 다양한 실천 영역에서 널리 활용되어 왔다.</w:t>
      </w:r>
    </w:p>
    <w:p>
      <w:pPr>
        <w:spacing w:line="372" w:lineRule="auto" w:after="140"/>
        <w:ind w:firstLine="397"/>
        <w:jc w:val="both"/>
      </w:pPr>
      <w:r>
        <w:rPr>
          <w:rFonts w:ascii="Malgun Gothic" w:hAnsi="Malgun Gothic" w:eastAsia="Malgun Gothic"/>
          <w:color w:val="212529"/>
          <w:sz w:val="21"/>
        </w:rPr>
        <w:t>세 이론은 모두 발달을 일정한 순서와 질적 변화의 관점에서 이해한다는 공통점이 있으나, 강조하는 영역은 서로 다르다. 피아제는 아동이 환경과 상호작용하면서 지식을 능동적으로 구성하는 인지 구조의 변화에 주목하였고, 에릭슨은 인간이 전 생애에 걸쳐 사회적 관계 속에서 심리사회적 위기를 해결하며 자아를 발달시킨다고 보았다. 콜버그는 도덕적 딜레마에 대한 판단 근거가 단순한 처벌 회피에서 보편적 윤리 원리로 변화할 수 있다는 점을 단계적으로 설명하였다.</w:t>
      </w:r>
    </w:p>
    <w:p>
      <w:pPr>
        <w:spacing w:line="372" w:lineRule="auto" w:after="140"/>
        <w:ind w:firstLine="397"/>
        <w:jc w:val="both"/>
      </w:pPr>
      <w:r>
        <w:rPr>
          <w:rFonts w:ascii="Malgun Gothic" w:hAnsi="Malgun Gothic" w:eastAsia="Malgun Gothic"/>
          <w:color w:val="212529"/>
          <w:sz w:val="21"/>
        </w:rPr>
        <w:t>본 과제에서는 먼저 각 이론의 기본 가정과 발달단계를 체계적으로 정리한 뒤, 실제 생활과 교육 장면에서 가지는 의미를 검토하고자 한다. 또한 각 이론의 장점과 한계를 학습자의 관점에서 평가함으로써, 발달이론을 인간 행동을 기계적으로 분류하는 틀이 아니라 개인의 성장 가능성과 환경적 맥락을 이해하는 분석 도구로 활용할 필요가 있음을 논의하고자 한다.</w:t>
      </w:r>
    </w:p>
    <w:p>
      <w:pPr>
        <w:pStyle w:val="Heading1"/>
      </w:pPr>
      <w:r>
        <w:t>Ⅱ. 본론</w:t>
      </w:r>
    </w:p>
    <w:p>
      <w:pPr>
        <w:pStyle w:val="Heading2"/>
      </w:pPr>
      <w:r>
        <w:t>1. 피아제의 인지발달이론</w:t>
      </w:r>
    </w:p>
    <w:p>
      <w:pPr>
        <w:pStyle w:val="Heading3"/>
      </w:pPr>
      <w:r>
        <w:t>1) 기본 관점과 주요 개념</w:t>
      </w:r>
    </w:p>
    <w:p>
      <w:pPr>
        <w:spacing w:line="372" w:lineRule="auto" w:after="140"/>
        <w:ind w:firstLine="397"/>
        <w:jc w:val="both"/>
      </w:pPr>
      <w:r>
        <w:rPr>
          <w:rFonts w:ascii="Malgun Gothic" w:hAnsi="Malgun Gothic" w:eastAsia="Malgun Gothic"/>
          <w:color w:val="212529"/>
          <w:sz w:val="21"/>
        </w:rPr>
        <w:t>피아제는 아동을 외부 정보를 수동적으로 받아들이는 존재가 아니라, 주변 세계를 탐색하고 경험을 조직하면서 스스로 지식을 구성하는 능동적 존재로 보았다. 그의 이론에서 인지는 단순한 지식의 축적이 아니라 사고 구조 자체가 변화하는 과정이다. 아동은 기존의 인지 구조인 도식(schema)을 활용하여 새로운 경험을 이해하며, 경험이 기존 도식으로 설명될 수 있을 때에는 동화(assimilation)가 일어나고, 기존 도식을 수정하거나 새로운 도식을 형성해야 할 때에는 조절(accommodation)이 일어난다.</w:t>
      </w:r>
    </w:p>
    <w:p>
      <w:pPr>
        <w:spacing w:line="372" w:lineRule="auto" w:after="140"/>
        <w:ind w:firstLine="397"/>
        <w:jc w:val="both"/>
      </w:pPr>
      <w:r>
        <w:rPr>
          <w:rFonts w:ascii="Malgun Gothic" w:hAnsi="Malgun Gothic" w:eastAsia="Malgun Gothic"/>
          <w:color w:val="212529"/>
          <w:sz w:val="21"/>
        </w:rPr>
        <w:t>동화와 조절은 서로 대립하는 과정이라기보다 균형을 이루며 인지 발달을 촉진한다. 예를 들어 어린아이가 네 발로 움직이는 동물을 모두 “강아지”라고 부르는 것은 기존 동물 도식에 새로운 대상을 포함시키는 동화에 해당한다. 이후 고양이와 강아지의 차이를 경험하면서 두 범주를 구분하게 되는 것은 조절의 사례로 볼 수 있다. 피아제는 이러한 동화와 조절의 반복을 통해 인지적 불균형이 해소되고 더 높은 수준의 평형화(equilibration)가 이루어진다고 설명하였다.</w:t>
      </w:r>
    </w:p>
    <w:p>
      <w:pPr>
        <w:pStyle w:val="Heading3"/>
      </w:pPr>
      <w:r>
        <w:t>2) 인지발달의 네 단계</w:t>
      </w:r>
    </w:p>
    <w:p>
      <w:pPr>
        <w:pStyle w:val="ListBullet"/>
        <w:spacing w:after="80"/>
        <w:ind w:left="340" w:hanging="170"/>
      </w:pPr>
      <w:r>
        <w:rPr>
          <w:rFonts w:ascii="Malgun Gothic" w:hAnsi="Malgun Gothic" w:eastAsia="Malgun Gothic"/>
          <w:color w:val="212529"/>
          <w:sz w:val="20"/>
        </w:rPr>
        <w:t>감각운동기(출생~약 2세): 감각과 운동 행동을 통해 세계를 이해하며, 대상영속성의 획득이 중요한 성취이다. 눈앞에서 사라진 대상도 계속 존재한다는 사실을 이해하면서 표상 능력의 토대가 형성된다.</w:t>
      </w:r>
    </w:p>
    <w:p>
      <w:pPr>
        <w:pStyle w:val="ListBullet"/>
        <w:spacing w:after="80"/>
        <w:ind w:left="340" w:hanging="170"/>
      </w:pPr>
      <w:r>
        <w:rPr>
          <w:rFonts w:ascii="Malgun Gothic" w:hAnsi="Malgun Gothic" w:eastAsia="Malgun Gothic"/>
          <w:color w:val="212529"/>
          <w:sz w:val="20"/>
        </w:rPr>
        <w:t>전조작기(약 2~7세): 언어와 상징 사용이 급속히 발달하지만 자기중심성, 중심화, 보존개념의 미숙성이 나타난다. 자신의 관점과 타인의 관점을 구분하는 능력이 아직 충분히 성숙하지 않은 시기이다.</w:t>
      </w:r>
    </w:p>
    <w:p>
      <w:pPr>
        <w:pStyle w:val="ListBullet"/>
        <w:spacing w:after="80"/>
        <w:ind w:left="340" w:hanging="170"/>
      </w:pPr>
      <w:r>
        <w:rPr>
          <w:rFonts w:ascii="Malgun Gothic" w:hAnsi="Malgun Gothic" w:eastAsia="Malgun Gothic"/>
          <w:color w:val="212529"/>
          <w:sz w:val="20"/>
        </w:rPr>
        <w:t>구체적 조작기(약 7~11세): 실제적이고 구체적인 대상에 대해서는 논리적 사고가 가능해진다. 보존개념, 분류, 서열화, 가역성을 이해하며 여러 속성을 동시에 고려할 수 있다.</w:t>
      </w:r>
    </w:p>
    <w:p>
      <w:pPr>
        <w:pStyle w:val="ListBullet"/>
        <w:spacing w:after="80"/>
        <w:ind w:left="340" w:hanging="170"/>
      </w:pPr>
      <w:r>
        <w:rPr>
          <w:rFonts w:ascii="Malgun Gothic" w:hAnsi="Malgun Gothic" w:eastAsia="Malgun Gothic"/>
          <w:color w:val="212529"/>
          <w:sz w:val="20"/>
        </w:rPr>
        <w:t>형식적 조작기(약 11세 이후): 추상적 개념과 가설을 다룰 수 있으며, 가능성을 체계적으로 검토하는 가설연역적 사고가 발달한다. 다만 모든 성인이 모든 영역에서 동일한 수준의 형식적 사고를 보이는 것은 아니다.</w:t>
      </w:r>
    </w:p>
    <w:p/>
    <w:p>
      <w:pPr>
        <w:pStyle w:val="Heading2"/>
      </w:pPr>
      <w:r>
        <w:t>1. 피아제의 인지발달이론(계속)</w:t>
      </w:r>
    </w:p>
    <w:p>
      <w:pPr>
        <w:pStyle w:val="Heading3"/>
      </w:pPr>
      <w:r>
        <w:t>3) 교육적 의미와 실제 사례</w:t>
      </w:r>
    </w:p>
    <w:p>
      <w:pPr>
        <w:spacing w:line="372" w:lineRule="auto" w:after="140"/>
        <w:ind w:firstLine="397"/>
        <w:jc w:val="both"/>
      </w:pPr>
      <w:r>
        <w:rPr>
          <w:rFonts w:ascii="Malgun Gothic" w:hAnsi="Malgun Gothic" w:eastAsia="Malgun Gothic"/>
          <w:color w:val="212529"/>
          <w:sz w:val="21"/>
        </w:rPr>
        <w:t>피아제의 관점은 교육에서 학습자의 발달 수준과 능동적 탐색을 중시하게 했다는 점에서 큰 의의가 있다. 교사가 정답을 일방적으로 전달하기보다 학습자가 직접 조작하고 비교하며 문제를 해결하게 할 때 인지 구조의 변화가 촉진될 수 있다. 예를 들어 초등학교 수학에서 분수 개념을 지도할 때 기호만 제시하기보다 실제 피자 모형이나 블록을 나누어 보게 하면 구체적 조작 수준의 학습자가 부분과 전체의 관계를 더 쉽게 이해할 수 있다. 반대로 아직 구체적 경험이 필요한 아동에게 추상적인 공식만 반복 암기시키면 이해가 제한될 가능성이 있다.</w:t>
      </w:r>
    </w:p>
    <w:p>
      <w:pPr>
        <w:spacing w:line="372" w:lineRule="auto" w:after="140"/>
        <w:ind w:firstLine="397"/>
        <w:jc w:val="both"/>
      </w:pPr>
      <w:r>
        <w:rPr>
          <w:rFonts w:ascii="Malgun Gothic" w:hAnsi="Malgun Gothic" w:eastAsia="Malgun Gothic"/>
          <w:color w:val="212529"/>
          <w:sz w:val="21"/>
        </w:rPr>
        <w:t>또한 아동이 틀린 답을 했다고 해서 단순히 지식이 부족하다고 판단하기보다, 그 답이 어떤 사고 구조에서 나왔는지 분석할 필요가 있다. 보존개념이 형성되지 않은 아동이 같은 양의 물을 길고 가는 컵에 옮겼을 때 “물이 더 많아졌다”고 말하는 것은 주의 부족이 아니라 높이라는 한 속성에만 집중하는 인지적 특성으로 설명할 수 있다. 이러한 관점은 학습자의 오류를 발달 과정의 단서로 이해하게 한다.</w:t>
      </w:r>
    </w:p>
    <w:p>
      <w:pPr>
        <w:pStyle w:val="Heading3"/>
      </w:pPr>
      <w:r>
        <w:t>4) 학습자의 의견 및 평가</w:t>
      </w:r>
    </w:p>
    <w:p>
      <w:pPr>
        <w:spacing w:line="372" w:lineRule="auto" w:after="140"/>
        <w:ind w:firstLine="397"/>
        <w:jc w:val="both"/>
      </w:pPr>
      <w:r>
        <w:rPr>
          <w:rFonts w:ascii="Malgun Gothic" w:hAnsi="Malgun Gothic" w:eastAsia="Malgun Gothic"/>
          <w:color w:val="212529"/>
          <w:sz w:val="21"/>
        </w:rPr>
        <w:t>학습자의 관점에서 피아제 이론의 가장 큰 장점은 아동의 사고를 성인의 미완성 형태로 보지 않고, 각 시기에 고유한 사고 방식이 존재한다고 설명한 데 있다고 본다. 실제로 학습자나 아동의 행동을 관찰하다 보면 동일한 설명을 제공하더라도 연령이나 경험에 따라 이해 방식이 매우 다르다. 따라서 교육자는 “왜 이것을 이해하지 못하는가”라고 평가하기보다, 현재 어떤 방식으로 사고하고 있는지를 먼저 파악해야 한다는 점에서 피아제의 관점은 여전히 실천적 가치가 크다.</w:t>
      </w:r>
    </w:p>
    <w:p>
      <w:pPr>
        <w:spacing w:line="372" w:lineRule="auto" w:after="140"/>
        <w:ind w:firstLine="397"/>
        <w:jc w:val="both"/>
      </w:pPr>
      <w:r>
        <w:rPr>
          <w:rFonts w:ascii="Malgun Gothic" w:hAnsi="Malgun Gothic" w:eastAsia="Malgun Gothic"/>
          <w:color w:val="212529"/>
          <w:sz w:val="21"/>
        </w:rPr>
        <w:t>다만 발달단계를 지나치게 연령과 연결하여 해석하는 것은 주의가 필요하다고 생각한다. 현대의 학습 환경에서는 조기 교육, 디지털 매체 경험, 또래 및 성인과의 상호작용 등 개인별 경험의 차이가 크기 때문에 같은 연령에서도 문제 해결 능력은 상당히 다를 수 있다. 또한 과제의 친숙성이나 언어 표현 방식에 따라 아동의 수행이 달라질 수 있으므로 특정 과제에서 실패했다고 해서 해당 단계의 능력이 전혀 없다고 단정하기 어렵다.</w:t>
      </w:r>
    </w:p>
    <w:p>
      <w:pPr>
        <w:spacing w:line="372" w:lineRule="auto" w:after="140"/>
        <w:ind w:firstLine="397"/>
        <w:jc w:val="both"/>
      </w:pPr>
      <w:r>
        <w:rPr>
          <w:rFonts w:ascii="Malgun Gothic" w:hAnsi="Malgun Gothic" w:eastAsia="Malgun Gothic"/>
          <w:color w:val="212529"/>
          <w:sz w:val="21"/>
        </w:rPr>
        <w:t>따라서 피아제 이론은 “몇 세이면 반드시 어떤 능력을 가진다”는 고정적 기준보다는, 학습자가 구체적 경험에서 추상적 사고로 점차 이동하며 자신의 인지 구조를 재조직한다는 원리로 활용하는 것이 적절하다. 학습자는 특히 동화와 조절의 개념이 성인 학습에도 적용될 수 있다고 본다. 새로운 직무나 새로운 기술을 배울 때 기존 지식으로 이해가 되지 않는 순간이 발생하고, 그때 기존 관점을 수정하면서 학습이 심화되기 때문이다. 이런 점에서 인지발달은 아동기에만 한정된 현상이라기보다 평생학습의 과정에서도 부분적으로 관찰될 수 있다.</w:t>
      </w:r>
    </w:p>
    <w:tbl>
      <w:tblPr>
        <w:tblW w:type="auto" w:w="0"/>
        <w:jc w:val="center"/>
        <w:tblLook w:firstColumn="1" w:firstRow="1" w:lastColumn="0" w:lastRow="0" w:noHBand="0" w:noVBand="1" w:val="04A0"/>
      </w:tblPr>
      <w:tblGrid>
        <w:gridCol w:w="9026"/>
      </w:tblGrid>
      <w:tr>
        <w:tc>
          <w:tcPr>
            <w:tcW w:type="dxa" w:w="9026"/>
            <w:shd w:fill="EAF1F7"/>
            <w:tcMar>
              <w:top w:w="160" w:type="dxa"/>
              <w:start w:w="200" w:type="dxa"/>
              <w:bottom w:w="160" w:type="dxa"/>
              <w:end w:w="200" w:type="dxa"/>
            </w:tcMar>
          </w:tcPr>
          <w:p>
            <w:r>
              <w:rPr>
                <w:rFonts w:ascii="Malgun Gothic" w:hAnsi="Malgun Gothic" w:eastAsia="Malgun Gothic"/>
                <w:b/>
                <w:color w:val="1F374E"/>
                <w:sz w:val="21"/>
              </w:rPr>
              <w:t>피아제 이론의 핵심 평가</w:t>
            </w:r>
          </w:p>
          <w:p>
            <w:pPr>
              <w:spacing w:after="40"/>
            </w:pPr>
            <w:r>
              <w:rPr>
                <w:rFonts w:ascii="Malgun Gothic" w:hAnsi="Malgun Gothic" w:eastAsia="Malgun Gothic"/>
                <w:b w:val="0"/>
                <w:color w:val="212529"/>
                <w:sz w:val="19"/>
              </w:rPr>
              <w:t>• 강점: 학습자의 능동성, 질적 사고 변화, 발달 수준에 적합한 교육의 중요성을 강조함.</w:t>
            </w:r>
          </w:p>
          <w:p>
            <w:pPr>
              <w:spacing w:after="40"/>
            </w:pPr>
            <w:r>
              <w:rPr>
                <w:rFonts w:ascii="Malgun Gothic" w:hAnsi="Malgun Gothic" w:eastAsia="Malgun Gothic"/>
                <w:b w:val="0"/>
                <w:color w:val="212529"/>
                <w:sz w:val="19"/>
              </w:rPr>
              <w:t>• 한계: 단계의 보편성과 연령 기준을 지나치게 고정적으로 적용할 경우 개인차와 사회문화적 영향이 축소될 수 있음.</w:t>
            </w:r>
          </w:p>
        </w:tc>
      </w:tr>
    </w:tbl>
    <w:p/>
    <w:p>
      <w:pPr>
        <w:pStyle w:val="Heading2"/>
      </w:pPr>
      <w:r>
        <w:t>2. 에릭슨의 심리사회적 발달이론</w:t>
      </w:r>
    </w:p>
    <w:p>
      <w:pPr>
        <w:pStyle w:val="Heading3"/>
      </w:pPr>
      <w:r>
        <w:t>1) 기본 관점</w:t>
      </w:r>
    </w:p>
    <w:p>
      <w:pPr>
        <w:spacing w:line="372" w:lineRule="auto" w:after="140"/>
        <w:ind w:firstLine="397"/>
        <w:jc w:val="both"/>
      </w:pPr>
      <w:r>
        <w:rPr>
          <w:rFonts w:ascii="Malgun Gothic" w:hAnsi="Malgun Gothic" w:eastAsia="Malgun Gothic"/>
          <w:color w:val="212529"/>
          <w:sz w:val="21"/>
        </w:rPr>
        <w:t>에릭슨은 프로이트의 정신분석 전통을 계승하면서도 인간 발달을 성적 충동 중심으로만 설명하지 않고, 자아와 사회적 관계의 상호작용을 강조하였다. 그의 핵심적인 기여는 발달을 아동기에서 끝나는 과정으로 보지 않고 노년기까지 이어지는 전 생애 과정으로 확장한 데 있다. 인간은 각 발달 시기마다 두 가지 상반된 경향 사이에서 심리사회적 위기(psychosocial crisis)를 경험하며, 이 위기를 어느 정도 긍정적으로 해결할 때 다음 단계의 발달에 도움이 되는 자아 강점을 형성한다.</w:t>
      </w:r>
    </w:p>
    <w:p>
      <w:pPr>
        <w:spacing w:line="372" w:lineRule="auto" w:after="140"/>
        <w:ind w:firstLine="397"/>
        <w:jc w:val="both"/>
      </w:pPr>
      <w:r>
        <w:rPr>
          <w:rFonts w:ascii="Malgun Gothic" w:hAnsi="Malgun Gothic" w:eastAsia="Malgun Gothic"/>
          <w:color w:val="212529"/>
          <w:sz w:val="21"/>
        </w:rPr>
        <w:t>여기서 위기라는 표현은 반드시 병리적 사건이나 심각한 문제를 의미하지 않는다. 오히려 개인이 새로운 사회적 요구와 역할에 적응하는 과정에서 경험하는 발달적 과제를 뜻한다. 예를 들어 청소년기의 정체감 대 역할혼미는 진로, 가치관, 인간관계, 사회적 역할을 탐색하면서 “나는 누구인가”에 대한 비교적 일관된 답을 형성하는 과정을 의미한다. 이 과정에서 일시적인 혼란이나 시행착오는 자연스러운 발달 경험으로 볼 수 있다.</w:t>
      </w:r>
    </w:p>
    <w:p>
      <w:pPr>
        <w:pStyle w:val="Heading3"/>
      </w:pPr>
      <w:r>
        <w:t>2) 심리사회적 발달의 8단계</w:t>
      </w:r>
    </w:p>
    <w:tbl>
      <w:tblPr>
        <w:tblStyle w:val="TableGrid"/>
        <w:tblW w:type="auto" w:w="0"/>
        <w:jc w:val="center"/>
        <w:tblLook w:firstColumn="1" w:firstRow="1" w:lastColumn="0" w:lastRow="0" w:noHBand="0" w:noVBand="1" w:val="04A0"/>
      </w:tblPr>
      <w:tblGrid>
        <w:gridCol w:w="2256"/>
        <w:gridCol w:w="2256"/>
        <w:gridCol w:w="2256"/>
        <w:gridCol w:w="2256"/>
      </w:tblGrid>
      <w:tr>
        <w:trPr>
          <w:tblHeader w:val="true"/>
          <w:cantSplit/>
        </w:trPr>
        <w:tc>
          <w:tcPr>
            <w:tcW w:type="dxa" w:w="2256"/>
            <w:shd w:fill="D9E5F0"/>
            <w:vAlign w:val="center"/>
          </w:tcPr>
          <w:p>
            <w:r>
              <w:rPr>
                <w:rFonts w:ascii="Malgun Gothic" w:hAnsi="Malgun Gothic" w:eastAsia="Malgun Gothic"/>
                <w:b/>
                <w:color w:val="1F374E"/>
                <w:sz w:val="18"/>
              </w:rPr>
              <w:t>단계</w:t>
            </w:r>
          </w:p>
        </w:tc>
        <w:tc>
          <w:tcPr>
            <w:tcW w:type="dxa" w:w="2256"/>
            <w:shd w:fill="D9E5F0"/>
            <w:vAlign w:val="center"/>
          </w:tcPr>
          <w:p>
            <w:r>
              <w:rPr>
                <w:rFonts w:ascii="Malgun Gothic" w:hAnsi="Malgun Gothic" w:eastAsia="Malgun Gothic"/>
                <w:b/>
                <w:color w:val="1F374E"/>
                <w:sz w:val="18"/>
              </w:rPr>
              <w:t>핵심 위기</w:t>
            </w:r>
          </w:p>
        </w:tc>
        <w:tc>
          <w:tcPr>
            <w:tcW w:type="dxa" w:w="2256"/>
            <w:shd w:fill="D9E5F0"/>
            <w:vAlign w:val="center"/>
          </w:tcPr>
          <w:p>
            <w:r>
              <w:rPr>
                <w:rFonts w:ascii="Malgun Gothic" w:hAnsi="Malgun Gothic" w:eastAsia="Malgun Gothic"/>
                <w:b/>
                <w:color w:val="1F374E"/>
                <w:sz w:val="18"/>
              </w:rPr>
              <w:t>시기</w:t>
            </w:r>
          </w:p>
        </w:tc>
        <w:tc>
          <w:tcPr>
            <w:tcW w:type="dxa" w:w="2256"/>
            <w:shd w:fill="D9E5F0"/>
            <w:vAlign w:val="center"/>
          </w:tcPr>
          <w:p>
            <w:r>
              <w:rPr>
                <w:rFonts w:ascii="Malgun Gothic" w:hAnsi="Malgun Gothic" w:eastAsia="Malgun Gothic"/>
                <w:b/>
                <w:color w:val="1F374E"/>
                <w:sz w:val="18"/>
              </w:rPr>
              <w:t>발달 과제</w:t>
            </w:r>
          </w:p>
        </w:tc>
      </w:tr>
      <w:tr>
        <w:trPr>
          <w:cantSplit/>
        </w:trPr>
        <w:tc>
          <w:tcPr>
            <w:tcW w:type="dxa" w:w="2256"/>
            <w:vAlign w:val="center"/>
            <w:tcMar>
              <w:top w:w="80" w:type="dxa"/>
              <w:start w:w="90" w:type="dxa"/>
              <w:bottom w:w="80" w:type="dxa"/>
              <w:end w:w="90" w:type="dxa"/>
            </w:tcMar>
          </w:tcPr>
          <w:p>
            <w:r>
              <w:rPr>
                <w:rFonts w:ascii="Malgun Gothic" w:hAnsi="Malgun Gothic" w:eastAsia="Malgun Gothic"/>
                <w:b w:val="0"/>
                <w:color w:val="212529"/>
                <w:sz w:val="17"/>
              </w:rPr>
              <w:t>1단계</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신뢰감 대 불신감</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영아기</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일관된 돌봄을 통해 세상과 타인에 대한 기본적 신뢰를 형성한다.</w:t>
            </w:r>
          </w:p>
        </w:tc>
      </w:tr>
      <w:tr>
        <w:trPr>
          <w:cantSplit/>
        </w:trPr>
        <w:tc>
          <w:tcPr>
            <w:tcW w:type="dxa" w:w="2256"/>
            <w:vAlign w:val="center"/>
            <w:tcMar>
              <w:top w:w="80" w:type="dxa"/>
              <w:start w:w="90" w:type="dxa"/>
              <w:bottom w:w="80" w:type="dxa"/>
              <w:end w:w="90" w:type="dxa"/>
            </w:tcMar>
          </w:tcPr>
          <w:p>
            <w:r>
              <w:rPr>
                <w:rFonts w:ascii="Malgun Gothic" w:hAnsi="Malgun Gothic" w:eastAsia="Malgun Gothic"/>
                <w:b w:val="0"/>
                <w:color w:val="212529"/>
                <w:sz w:val="17"/>
              </w:rPr>
              <w:t>2단계</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자율성 대 수치심·의심</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유아기</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스스로 선택하고 행동하는 경험을 통해 자율성과 자기통제감을 발달시킨다.</w:t>
            </w:r>
          </w:p>
        </w:tc>
      </w:tr>
      <w:tr>
        <w:trPr>
          <w:cantSplit/>
        </w:trPr>
        <w:tc>
          <w:tcPr>
            <w:tcW w:type="dxa" w:w="2256"/>
            <w:vAlign w:val="center"/>
            <w:tcMar>
              <w:top w:w="80" w:type="dxa"/>
              <w:start w:w="90" w:type="dxa"/>
              <w:bottom w:w="80" w:type="dxa"/>
              <w:end w:w="90" w:type="dxa"/>
            </w:tcMar>
          </w:tcPr>
          <w:p>
            <w:r>
              <w:rPr>
                <w:rFonts w:ascii="Malgun Gothic" w:hAnsi="Malgun Gothic" w:eastAsia="Malgun Gothic"/>
                <w:b w:val="0"/>
                <w:color w:val="212529"/>
                <w:sz w:val="17"/>
              </w:rPr>
              <w:t>3단계</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주도성 대 죄책감</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학령전기</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목표를 세우고 활동을 시작하며, 과도한 억제는 죄책감을 강화할 수 있다.</w:t>
            </w:r>
          </w:p>
        </w:tc>
      </w:tr>
      <w:tr>
        <w:trPr>
          <w:cantSplit/>
        </w:trPr>
        <w:tc>
          <w:tcPr>
            <w:tcW w:type="dxa" w:w="2256"/>
            <w:vAlign w:val="center"/>
            <w:tcMar>
              <w:top w:w="80" w:type="dxa"/>
              <w:start w:w="90" w:type="dxa"/>
              <w:bottom w:w="80" w:type="dxa"/>
              <w:end w:w="90" w:type="dxa"/>
            </w:tcMar>
          </w:tcPr>
          <w:p>
            <w:r>
              <w:rPr>
                <w:rFonts w:ascii="Malgun Gothic" w:hAnsi="Malgun Gothic" w:eastAsia="Malgun Gothic"/>
                <w:b w:val="0"/>
                <w:color w:val="212529"/>
                <w:sz w:val="17"/>
              </w:rPr>
              <w:t>4단계</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근면성 대 열등감</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학령기</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학업·과업 수행과 인정 경험을 통해 유능감과 성취감을 형성한다.</w:t>
            </w:r>
          </w:p>
        </w:tc>
      </w:tr>
      <w:tr>
        <w:trPr>
          <w:cantSplit/>
        </w:trPr>
        <w:tc>
          <w:tcPr>
            <w:tcW w:type="dxa" w:w="2256"/>
            <w:vAlign w:val="center"/>
            <w:tcMar>
              <w:top w:w="80" w:type="dxa"/>
              <w:start w:w="90" w:type="dxa"/>
              <w:bottom w:w="80" w:type="dxa"/>
              <w:end w:w="90" w:type="dxa"/>
            </w:tcMar>
          </w:tcPr>
          <w:p>
            <w:r>
              <w:rPr>
                <w:rFonts w:ascii="Malgun Gothic" w:hAnsi="Malgun Gothic" w:eastAsia="Malgun Gothic"/>
                <w:b w:val="0"/>
                <w:color w:val="212529"/>
                <w:sz w:val="17"/>
              </w:rPr>
              <w:t>5단계</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정체감 대 역할혼미</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청소년기</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가치관·진로·관계의 탐색을 통해 자아정체감을 형성한다.</w:t>
            </w:r>
          </w:p>
        </w:tc>
      </w:tr>
      <w:tr>
        <w:trPr>
          <w:cantSplit/>
        </w:trPr>
        <w:tc>
          <w:tcPr>
            <w:tcW w:type="dxa" w:w="2256"/>
            <w:vAlign w:val="center"/>
            <w:tcMar>
              <w:top w:w="80" w:type="dxa"/>
              <w:start w:w="90" w:type="dxa"/>
              <w:bottom w:w="80" w:type="dxa"/>
              <w:end w:w="90" w:type="dxa"/>
            </w:tcMar>
          </w:tcPr>
          <w:p>
            <w:r>
              <w:rPr>
                <w:rFonts w:ascii="Malgun Gothic" w:hAnsi="Malgun Gothic" w:eastAsia="Malgun Gothic"/>
                <w:b w:val="0"/>
                <w:color w:val="212529"/>
                <w:sz w:val="17"/>
              </w:rPr>
              <w:t>6단계</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친밀감 대 고립감</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성인 초기</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자기 정체성을 바탕으로 깊고 상호적인 관계를 형성한다.</w:t>
            </w:r>
          </w:p>
        </w:tc>
      </w:tr>
      <w:tr>
        <w:trPr>
          <w:cantSplit/>
        </w:trPr>
        <w:tc>
          <w:tcPr>
            <w:tcW w:type="dxa" w:w="2256"/>
            <w:vAlign w:val="center"/>
            <w:tcMar>
              <w:top w:w="80" w:type="dxa"/>
              <w:start w:w="90" w:type="dxa"/>
              <w:bottom w:w="80" w:type="dxa"/>
              <w:end w:w="90" w:type="dxa"/>
            </w:tcMar>
          </w:tcPr>
          <w:p>
            <w:r>
              <w:rPr>
                <w:rFonts w:ascii="Malgun Gothic" w:hAnsi="Malgun Gothic" w:eastAsia="Malgun Gothic"/>
                <w:b w:val="0"/>
                <w:color w:val="212529"/>
                <w:sz w:val="17"/>
              </w:rPr>
              <w:t>7단계</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생산성 대 침체성</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성인 중기</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다음 세대와 사회에 기여하며 돌봄과 생산성을 경험한다.</w:t>
            </w:r>
          </w:p>
        </w:tc>
      </w:tr>
      <w:tr>
        <w:trPr>
          <w:cantSplit/>
        </w:trPr>
        <w:tc>
          <w:tcPr>
            <w:tcW w:type="dxa" w:w="2256"/>
            <w:vAlign w:val="center"/>
            <w:tcMar>
              <w:top w:w="80" w:type="dxa"/>
              <w:start w:w="90" w:type="dxa"/>
              <w:bottom w:w="80" w:type="dxa"/>
              <w:end w:w="90" w:type="dxa"/>
            </w:tcMar>
          </w:tcPr>
          <w:p>
            <w:r>
              <w:rPr>
                <w:rFonts w:ascii="Malgun Gothic" w:hAnsi="Malgun Gothic" w:eastAsia="Malgun Gothic"/>
                <w:b w:val="0"/>
                <w:color w:val="212529"/>
                <w:sz w:val="17"/>
              </w:rPr>
              <w:t>8단계</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자아통합 대 절망</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노년기</w:t>
            </w:r>
          </w:p>
        </w:tc>
        <w:tc>
          <w:tcPr>
            <w:tcW w:type="dxa" w:w="2256"/>
            <w:vAlign w:val="center"/>
            <w:tcMar>
              <w:top w:w="80" w:type="dxa"/>
              <w:start w:w="90" w:type="dxa"/>
              <w:bottom w:w="80" w:type="dxa"/>
              <w:end w:w="90" w:type="dxa"/>
            </w:tcMar>
          </w:tcPr>
          <w:p>
            <w:r>
              <w:rPr>
                <w:rFonts w:ascii="Malgun Gothic" w:hAnsi="Malgun Gothic" w:eastAsia="Malgun Gothic"/>
                <w:b w:val="0"/>
                <w:color w:val="212529"/>
                <w:sz w:val="17"/>
              </w:rPr>
              <w:t>자신의 삶을 수용하고 의미를 통합할 때 지혜가 발달한다.</w:t>
            </w:r>
          </w:p>
        </w:tc>
      </w:tr>
    </w:tbl>
    <w:p/>
    <w:p>
      <w:pPr>
        <w:pStyle w:val="Heading2"/>
      </w:pPr>
      <w:r>
        <w:t>2. 에릭슨의 심리사회적 발달이론(계속)</w:t>
      </w:r>
    </w:p>
    <w:p>
      <w:pPr>
        <w:pStyle w:val="Heading3"/>
      </w:pPr>
      <w:r>
        <w:t>3) 학습자의 의견 및 평가</w:t>
      </w:r>
    </w:p>
    <w:p>
      <w:pPr>
        <w:spacing w:line="372" w:lineRule="auto" w:after="140"/>
        <w:ind w:firstLine="397"/>
        <w:jc w:val="both"/>
      </w:pPr>
      <w:r>
        <w:rPr>
          <w:rFonts w:ascii="Malgun Gothic" w:hAnsi="Malgun Gothic" w:eastAsia="Malgun Gothic"/>
          <w:color w:val="212529"/>
          <w:sz w:val="21"/>
        </w:rPr>
        <w:t>학습자는 에릭슨 이론이 인간 발달을 전 생애적으로 이해하게 한다는 점을 가장 높게 평가한다. 특히 성인기의 친밀감, 생산성, 노년기의 자아통합을 발달 과제로 제시한 것은 성장이 청소년기에 완성되는 것이 아니라는 사실을 보여 준다. 이는 평생교육이나 성인상담의 관점에서도 의미가 크다. 예를 들어 중년기에 직업 변화나 자녀 독립을 경험하는 사람은 이를 단순한 상실로만 볼 수도 있지만, 생산성을 새로운 방식으로 재구성하고 사회적 기여의 형태를 찾는 발달 과제로 해석할 수 있다.</w:t>
      </w:r>
    </w:p>
    <w:p>
      <w:pPr>
        <w:spacing w:line="372" w:lineRule="auto" w:after="140"/>
        <w:ind w:firstLine="397"/>
        <w:jc w:val="both"/>
      </w:pPr>
      <w:r>
        <w:rPr>
          <w:rFonts w:ascii="Malgun Gothic" w:hAnsi="Malgun Gothic" w:eastAsia="Malgun Gothic"/>
          <w:color w:val="212529"/>
          <w:sz w:val="21"/>
        </w:rPr>
        <w:t>또한 각 단계의 긍정적 결과와 부정적 결과가 완전히 배타적인 것이 아니라는 점도 현실적이다. 인간은 누구나 신뢰와 불신, 자율성과 의심을 동시에 경험하며, 중요한 것은 부정적 감정을 완전히 제거하는 것이 아니라 긍정적 성향이 상대적으로 우세하도록 균형을 형성하는 것이다. 학습자는 이 관점이 개인을 이분법적으로 평가하지 않고, 과거의 어려움이 있더라도 이후 관계와 경험을 통해 변화할 가능성을 인정한다는 점에서 유용하다고 본다.</w:t>
      </w:r>
    </w:p>
    <w:p>
      <w:pPr>
        <w:spacing w:line="372" w:lineRule="auto" w:after="140"/>
        <w:ind w:firstLine="397"/>
        <w:jc w:val="both"/>
      </w:pPr>
      <w:r>
        <w:rPr>
          <w:rFonts w:ascii="Malgun Gothic" w:hAnsi="Malgun Gothic" w:eastAsia="Malgun Gothic"/>
          <w:color w:val="212529"/>
          <w:sz w:val="21"/>
        </w:rPr>
        <w:t>그러나 에릭슨의 단계는 사회문화적 맥락에 따라 다른 모습으로 나타날 수 있다. 진로 선택과 독립의 시기, 결혼과 가족 형성의 의미, 노년기의 역할은 시대와 문화에 따라 크게 달라진다. 따라서 청소년기에 정체감이 완성되고 성인 초기에 친밀감이 핵심 과제로 등장한다는 순서를 절대적 기준으로 적용하기보다, 개인이 현재 어떤 관계적·사회적 과제를 경험하고 있는지 탐색하는 틀로 활용하는 것이 타당하다.</w:t>
      </w:r>
    </w:p>
    <w:p>
      <w:pPr>
        <w:pStyle w:val="Heading2"/>
      </w:pPr>
      <w:r>
        <w:t>3. 콜버그의 도덕성 발달이론</w:t>
      </w:r>
    </w:p>
    <w:p>
      <w:pPr>
        <w:pStyle w:val="Heading3"/>
      </w:pPr>
      <w:r>
        <w:t>1) 기본 관점과 도덕적 딜레마</w:t>
      </w:r>
    </w:p>
    <w:p>
      <w:pPr>
        <w:spacing w:line="372" w:lineRule="auto" w:after="140"/>
        <w:ind w:firstLine="397"/>
        <w:jc w:val="both"/>
      </w:pPr>
      <w:r>
        <w:rPr>
          <w:rFonts w:ascii="Malgun Gothic" w:hAnsi="Malgun Gothic" w:eastAsia="Malgun Gothic"/>
          <w:color w:val="212529"/>
          <w:sz w:val="21"/>
        </w:rPr>
        <w:t>콜버그는 피아제의 인지발달 관점을 도덕 판단의 영역으로 확장하여, 도덕성 발달을 행동의 결과보다 판단의 근거가 변화하는 과정으로 보았다. 같은 행동을 선택하더라도 왜 그렇게 판단했는지에 따라 도덕적 추론의 수준이 다를 수 있다는 것이다. 이를 알아보기 위해 콜버그는 하인츠 딜레마와 같은 가상의 도덕적 갈등 상황을 제시하고, 참여자가 선택한 결론보다 그 선택을 정당화하는 이유를 분석하였다.</w:t>
      </w:r>
    </w:p>
    <w:p>
      <w:pPr>
        <w:spacing w:line="372" w:lineRule="auto" w:after="140"/>
        <w:ind w:firstLine="397"/>
        <w:jc w:val="both"/>
      </w:pPr>
      <w:r>
        <w:rPr>
          <w:rFonts w:ascii="Malgun Gothic" w:hAnsi="Malgun Gothic" w:eastAsia="Malgun Gothic"/>
          <w:color w:val="212529"/>
          <w:sz w:val="21"/>
        </w:rPr>
        <w:t>예를 들어 약값을 구하지 못한 남편이 아내의 생명을 살리기 위해 약을 훔쳐야 하는가라는 질문에서, “훔치면 처벌받기 때문에 안 된다”는 판단과 “생명은 재산권보다 더 근본적인 가치이기 때문에 규칙 위반을 감수할 수도 있다”는 판단은 동일한 반대 또는 찬성 결론을 내리더라도 추론의 구조가 서로 다르다. 콜버그는 이러한 판단 구조가 인지적 성숙과 역할수용 경험을 통해 더 복잡하고 원리적인 형태로 발달할 수 있다고 보았다.</w:t>
      </w:r>
    </w:p>
    <w:p>
      <w:pPr>
        <w:pStyle w:val="Heading3"/>
      </w:pPr>
      <w:r>
        <w:t>2) 3수준 6단계</w:t>
      </w:r>
    </w:p>
    <w:p>
      <w:pPr>
        <w:pStyle w:val="ListBullet"/>
        <w:spacing w:after="80"/>
        <w:ind w:left="340" w:hanging="170"/>
      </w:pPr>
      <w:r>
        <w:rPr>
          <w:rFonts w:ascii="Malgun Gothic" w:hAnsi="Malgun Gothic" w:eastAsia="Malgun Gothic"/>
          <w:color w:val="212529"/>
          <w:sz w:val="20"/>
        </w:rPr>
        <w:t>전인습적 수준: 1단계 처벌과 복종 지향, 2단계 도구적·상대주의적 지향으로 구성된다. 규칙은 주로 처벌 회피나 개인적 이익의 관점에서 이해된다.</w:t>
      </w:r>
    </w:p>
    <w:p>
      <w:pPr>
        <w:pStyle w:val="ListBullet"/>
        <w:spacing w:after="80"/>
        <w:ind w:left="340" w:hanging="170"/>
      </w:pPr>
      <w:r>
        <w:rPr>
          <w:rFonts w:ascii="Malgun Gothic" w:hAnsi="Malgun Gothic" w:eastAsia="Malgun Gothic"/>
          <w:color w:val="212529"/>
          <w:sz w:val="20"/>
        </w:rPr>
        <w:t>인습적 수준: 3단계 대인관계의 조화와 착한 사람 지향, 4단계 법과 질서 지향으로 구성된다. 타인의 인정, 사회적 역할, 법과 질서 유지가 중요한 판단 기준이 된다.</w:t>
      </w:r>
    </w:p>
    <w:p>
      <w:pPr>
        <w:pStyle w:val="ListBullet"/>
        <w:spacing w:after="80"/>
        <w:ind w:left="340" w:hanging="170"/>
      </w:pPr>
      <w:r>
        <w:rPr>
          <w:rFonts w:ascii="Malgun Gothic" w:hAnsi="Malgun Gothic" w:eastAsia="Malgun Gothic"/>
          <w:color w:val="212529"/>
          <w:sz w:val="20"/>
        </w:rPr>
        <w:t>후인습적 수준: 5단계 사회계약과 개인의 권리 지향, 6단계 보편적 윤리 원리 지향으로 설명된다. 기존 법과 규범 자체도 정의, 권리, 존엄성과 같은 원리에 비추어 비판적으로 검토할 수 있다.</w:t>
      </w:r>
    </w:p>
    <w:p/>
    <w:p>
      <w:pPr>
        <w:pStyle w:val="Heading2"/>
      </w:pPr>
      <w:r>
        <w:t>3. 콜버그의 도덕성 발달이론(계속)</w:t>
      </w:r>
    </w:p>
    <w:p>
      <w:pPr>
        <w:pStyle w:val="Heading3"/>
      </w:pPr>
      <w:r>
        <w:t>3) 학습자의 의견 및 평가</w:t>
      </w:r>
    </w:p>
    <w:p>
      <w:pPr>
        <w:spacing w:line="372" w:lineRule="auto" w:after="140"/>
        <w:ind w:firstLine="397"/>
        <w:jc w:val="both"/>
      </w:pPr>
      <w:r>
        <w:rPr>
          <w:rFonts w:ascii="Malgun Gothic" w:hAnsi="Malgun Gothic" w:eastAsia="Malgun Gothic"/>
          <w:color w:val="212529"/>
          <w:sz w:val="21"/>
        </w:rPr>
        <w:t>학습자는 콜버그 이론이 도덕성을 단순히 “규칙을 잘 지키는가”의 문제로 보지 않고, 판단의 이유와 원칙을 탐색하게 한다는 점에서 교육적 가치가 높다고 생각한다. 학교나 직장에서 규칙 준수만 강조하면 상황의 맥락이나 권리 충돌을 충분히 검토하지 못할 수 있다. 반면 도덕적 딜레마 토론을 활용하면 학습자는 서로 다른 입장을 듣고 자신의 판단 근거를 언어화하면서 더 넓은 관점을 경험할 수 있다.</w:t>
      </w:r>
    </w:p>
    <w:p>
      <w:pPr>
        <w:spacing w:line="372" w:lineRule="auto" w:after="140"/>
        <w:ind w:firstLine="397"/>
        <w:jc w:val="both"/>
      </w:pPr>
      <w:r>
        <w:rPr>
          <w:rFonts w:ascii="Malgun Gothic" w:hAnsi="Malgun Gothic" w:eastAsia="Malgun Gothic"/>
          <w:color w:val="212529"/>
          <w:sz w:val="21"/>
        </w:rPr>
        <w:t>다만 높은 단계의 도덕적 추론이 반드시 실제 행동으로 이어진다고 볼 수는 없다. 사람은 옳은 행동이 무엇인지 알면서도 경제적 이해관계, 집단 압력, 감정적 충동, 책임 회피 때문에 다른 행동을 할 수 있다. 따라서 도덕성은 인지적 판단뿐 아니라 공감, 정서, 습관, 관계, 사회적 환경을 함께 고려해야 한다. 또한 콜버그의 연구가 정의와 권리 중심의 추론을 특히 강조했다는 비판도 있으며, 돌봄과 관계적 책임 같은 도덕적 가치가 상대적으로 충분히 반영되지 않았다는 지적을 고려할 필요가 있다.</w:t>
      </w:r>
    </w:p>
    <w:p>
      <w:pPr>
        <w:spacing w:line="372" w:lineRule="auto" w:after="140"/>
        <w:ind w:firstLine="397"/>
        <w:jc w:val="both"/>
      </w:pPr>
      <w:r>
        <w:rPr>
          <w:rFonts w:ascii="Malgun Gothic" w:hAnsi="Malgun Gothic" w:eastAsia="Malgun Gothic"/>
          <w:color w:val="212529"/>
          <w:sz w:val="21"/>
        </w:rPr>
        <w:t>학습자는 콜버그의 단계 자체를 사람의 도덕적 수준을 서열화하는 기준으로 사용하는 것은 바람직하지 않다고 본다. 실제 생활의 도덕적 문제는 하나의 원리만으로 해결하기 어려우며, 문화와 관계 맥락에 따라 중요하게 여기는 가치가 다를 수 있다. 따라서 이 이론은 “누가 더 도덕적인가”를 판단하는 도구라기보다, 도덕 판단의 근거가 어떻게 복잡해지고 관점이 확장되는지를 이해하고 토론하는 교육적 틀로 활용하는 것이 적절하다.</w:t>
      </w:r>
    </w:p>
    <w:p>
      <w:pPr>
        <w:pStyle w:val="Heading2"/>
      </w:pPr>
      <w:r>
        <w:t>4. 세 이론의 비교 및 종합 평가</w:t>
      </w:r>
    </w:p>
    <w:tbl>
      <w:tblPr>
        <w:tblStyle w:val="TableGrid"/>
        <w:tblW w:type="auto" w:w="0"/>
        <w:jc w:val="center"/>
        <w:tblLook w:firstColumn="1" w:firstRow="1" w:lastColumn="0" w:lastRow="0" w:noHBand="0" w:noVBand="1" w:val="04A0"/>
      </w:tblPr>
      <w:tblGrid>
        <w:gridCol w:w="2256"/>
        <w:gridCol w:w="2256"/>
        <w:gridCol w:w="2256"/>
        <w:gridCol w:w="2256"/>
      </w:tblGrid>
      <w:tr>
        <w:trPr>
          <w:tblHeader w:val="true"/>
          <w:cantSplit/>
        </w:trPr>
        <w:tc>
          <w:tcPr>
            <w:tcW w:type="dxa" w:w="2256"/>
            <w:shd w:fill="D9E5F0"/>
          </w:tcPr>
          <w:p>
            <w:r>
              <w:rPr>
                <w:rFonts w:ascii="Malgun Gothic" w:hAnsi="Malgun Gothic" w:eastAsia="Malgun Gothic"/>
                <w:b/>
                <w:color w:val="1F374E"/>
                <w:sz w:val="18"/>
              </w:rPr>
              <w:t>구분</w:t>
            </w:r>
          </w:p>
        </w:tc>
        <w:tc>
          <w:tcPr>
            <w:tcW w:type="dxa" w:w="2256"/>
            <w:shd w:fill="D9E5F0"/>
          </w:tcPr>
          <w:p>
            <w:r>
              <w:rPr>
                <w:rFonts w:ascii="Malgun Gothic" w:hAnsi="Malgun Gothic" w:eastAsia="Malgun Gothic"/>
                <w:b/>
                <w:color w:val="1F374E"/>
                <w:sz w:val="18"/>
              </w:rPr>
              <w:t>피아제</w:t>
            </w:r>
          </w:p>
        </w:tc>
        <w:tc>
          <w:tcPr>
            <w:tcW w:type="dxa" w:w="2256"/>
            <w:shd w:fill="D9E5F0"/>
          </w:tcPr>
          <w:p>
            <w:r>
              <w:rPr>
                <w:rFonts w:ascii="Malgun Gothic" w:hAnsi="Malgun Gothic" w:eastAsia="Malgun Gothic"/>
                <w:b/>
                <w:color w:val="1F374E"/>
                <w:sz w:val="18"/>
              </w:rPr>
              <w:t>에릭슨</w:t>
            </w:r>
          </w:p>
        </w:tc>
        <w:tc>
          <w:tcPr>
            <w:tcW w:type="dxa" w:w="2256"/>
            <w:shd w:fill="D9E5F0"/>
          </w:tcPr>
          <w:p>
            <w:r>
              <w:rPr>
                <w:rFonts w:ascii="Malgun Gothic" w:hAnsi="Malgun Gothic" w:eastAsia="Malgun Gothic"/>
                <w:b/>
                <w:color w:val="1F374E"/>
                <w:sz w:val="18"/>
              </w:rPr>
              <w:t>콜버그</w:t>
            </w:r>
          </w:p>
        </w:tc>
      </w:tr>
      <w:tr>
        <w:trPr>
          <w:cantSplit/>
        </w:trPr>
        <w:tc>
          <w:tcPr>
            <w:tcW w:type="dxa" w:w="2256"/>
            <w:tcMar>
              <w:top w:w="80" w:type="dxa"/>
              <w:start w:w="90" w:type="dxa"/>
              <w:bottom w:w="80" w:type="dxa"/>
              <w:end w:w="90" w:type="dxa"/>
            </w:tcMar>
          </w:tcPr>
          <w:p>
            <w:r>
              <w:rPr>
                <w:rFonts w:ascii="Malgun Gothic" w:hAnsi="Malgun Gothic" w:eastAsia="Malgun Gothic"/>
                <w:b w:val="0"/>
                <w:color w:val="212529"/>
                <w:sz w:val="17"/>
              </w:rPr>
              <w:t>핵심 영역</w:t>
            </w:r>
          </w:p>
        </w:tc>
        <w:tc>
          <w:tcPr>
            <w:tcW w:type="dxa" w:w="2256"/>
            <w:tcMar>
              <w:top w:w="80" w:type="dxa"/>
              <w:start w:w="90" w:type="dxa"/>
              <w:bottom w:w="80" w:type="dxa"/>
              <w:end w:w="90" w:type="dxa"/>
            </w:tcMar>
          </w:tcPr>
          <w:p>
            <w:r>
              <w:rPr>
                <w:rFonts w:ascii="Malgun Gothic" w:hAnsi="Malgun Gothic" w:eastAsia="Malgun Gothic"/>
                <w:b w:val="0"/>
                <w:color w:val="212529"/>
                <w:sz w:val="17"/>
              </w:rPr>
              <w:t>인지 구조와 사고 방식</w:t>
            </w:r>
          </w:p>
        </w:tc>
        <w:tc>
          <w:tcPr>
            <w:tcW w:type="dxa" w:w="2256"/>
            <w:tcMar>
              <w:top w:w="80" w:type="dxa"/>
              <w:start w:w="90" w:type="dxa"/>
              <w:bottom w:w="80" w:type="dxa"/>
              <w:end w:w="90" w:type="dxa"/>
            </w:tcMar>
          </w:tcPr>
          <w:p>
            <w:r>
              <w:rPr>
                <w:rFonts w:ascii="Malgun Gothic" w:hAnsi="Malgun Gothic" w:eastAsia="Malgun Gothic"/>
                <w:b w:val="0"/>
                <w:color w:val="212529"/>
                <w:sz w:val="17"/>
              </w:rPr>
              <w:t>자아와 사회적 관계</w:t>
            </w:r>
          </w:p>
        </w:tc>
        <w:tc>
          <w:tcPr>
            <w:tcW w:type="dxa" w:w="2256"/>
            <w:tcMar>
              <w:top w:w="80" w:type="dxa"/>
              <w:start w:w="90" w:type="dxa"/>
              <w:bottom w:w="80" w:type="dxa"/>
              <w:end w:w="90" w:type="dxa"/>
            </w:tcMar>
          </w:tcPr>
          <w:p>
            <w:r>
              <w:rPr>
                <w:rFonts w:ascii="Malgun Gothic" w:hAnsi="Malgun Gothic" w:eastAsia="Malgun Gothic"/>
                <w:b w:val="0"/>
                <w:color w:val="212529"/>
                <w:sz w:val="17"/>
              </w:rPr>
              <w:t>도덕적 판단과 추론</w:t>
            </w:r>
          </w:p>
        </w:tc>
      </w:tr>
      <w:tr>
        <w:trPr>
          <w:cantSplit/>
        </w:trPr>
        <w:tc>
          <w:tcPr>
            <w:tcW w:type="dxa" w:w="2256"/>
            <w:tcMar>
              <w:top w:w="80" w:type="dxa"/>
              <w:start w:w="90" w:type="dxa"/>
              <w:bottom w:w="80" w:type="dxa"/>
              <w:end w:w="90" w:type="dxa"/>
            </w:tcMar>
          </w:tcPr>
          <w:p>
            <w:r>
              <w:rPr>
                <w:rFonts w:ascii="Malgun Gothic" w:hAnsi="Malgun Gothic" w:eastAsia="Malgun Gothic"/>
                <w:b w:val="0"/>
                <w:color w:val="212529"/>
                <w:sz w:val="17"/>
              </w:rPr>
              <w:t>발달 범위</w:t>
            </w:r>
          </w:p>
        </w:tc>
        <w:tc>
          <w:tcPr>
            <w:tcW w:type="dxa" w:w="2256"/>
            <w:tcMar>
              <w:top w:w="80" w:type="dxa"/>
              <w:start w:w="90" w:type="dxa"/>
              <w:bottom w:w="80" w:type="dxa"/>
              <w:end w:w="90" w:type="dxa"/>
            </w:tcMar>
          </w:tcPr>
          <w:p>
            <w:r>
              <w:rPr>
                <w:rFonts w:ascii="Malgun Gothic" w:hAnsi="Malgun Gothic" w:eastAsia="Malgun Gothic"/>
                <w:b w:val="0"/>
                <w:color w:val="212529"/>
                <w:sz w:val="17"/>
              </w:rPr>
              <w:t>주로 아동·청소년기의 인지발달</w:t>
            </w:r>
          </w:p>
        </w:tc>
        <w:tc>
          <w:tcPr>
            <w:tcW w:type="dxa" w:w="2256"/>
            <w:tcMar>
              <w:top w:w="80" w:type="dxa"/>
              <w:start w:w="90" w:type="dxa"/>
              <w:bottom w:w="80" w:type="dxa"/>
              <w:end w:w="90" w:type="dxa"/>
            </w:tcMar>
          </w:tcPr>
          <w:p>
            <w:r>
              <w:rPr>
                <w:rFonts w:ascii="Malgun Gothic" w:hAnsi="Malgun Gothic" w:eastAsia="Malgun Gothic"/>
                <w:b w:val="0"/>
                <w:color w:val="212529"/>
                <w:sz w:val="17"/>
              </w:rPr>
              <w:t>출생부터 노년기까지 전 생애</w:t>
            </w:r>
          </w:p>
        </w:tc>
        <w:tc>
          <w:tcPr>
            <w:tcW w:type="dxa" w:w="2256"/>
            <w:tcMar>
              <w:top w:w="80" w:type="dxa"/>
              <w:start w:w="90" w:type="dxa"/>
              <w:bottom w:w="80" w:type="dxa"/>
              <w:end w:w="90" w:type="dxa"/>
            </w:tcMar>
          </w:tcPr>
          <w:p>
            <w:r>
              <w:rPr>
                <w:rFonts w:ascii="Malgun Gothic" w:hAnsi="Malgun Gothic" w:eastAsia="Malgun Gothic"/>
                <w:b w:val="0"/>
                <w:color w:val="212529"/>
                <w:sz w:val="17"/>
              </w:rPr>
              <w:t>아동기 이후의 도덕 추론 발달</w:t>
            </w:r>
          </w:p>
        </w:tc>
      </w:tr>
      <w:tr>
        <w:trPr>
          <w:cantSplit/>
        </w:trPr>
        <w:tc>
          <w:tcPr>
            <w:tcW w:type="dxa" w:w="2256"/>
            <w:tcMar>
              <w:top w:w="80" w:type="dxa"/>
              <w:start w:w="90" w:type="dxa"/>
              <w:bottom w:w="80" w:type="dxa"/>
              <w:end w:w="90" w:type="dxa"/>
            </w:tcMar>
          </w:tcPr>
          <w:p>
            <w:r>
              <w:rPr>
                <w:rFonts w:ascii="Malgun Gothic" w:hAnsi="Malgun Gothic" w:eastAsia="Malgun Gothic"/>
                <w:b w:val="0"/>
                <w:color w:val="212529"/>
                <w:sz w:val="17"/>
              </w:rPr>
              <w:t>발달 기제</w:t>
            </w:r>
          </w:p>
        </w:tc>
        <w:tc>
          <w:tcPr>
            <w:tcW w:type="dxa" w:w="2256"/>
            <w:tcMar>
              <w:top w:w="80" w:type="dxa"/>
              <w:start w:w="90" w:type="dxa"/>
              <w:bottom w:w="80" w:type="dxa"/>
              <w:end w:w="90" w:type="dxa"/>
            </w:tcMar>
          </w:tcPr>
          <w:p>
            <w:r>
              <w:rPr>
                <w:rFonts w:ascii="Malgun Gothic" w:hAnsi="Malgun Gothic" w:eastAsia="Malgun Gothic"/>
                <w:b w:val="0"/>
                <w:color w:val="212529"/>
                <w:sz w:val="17"/>
              </w:rPr>
              <w:t>동화·조절·평형화</w:t>
            </w:r>
          </w:p>
        </w:tc>
        <w:tc>
          <w:tcPr>
            <w:tcW w:type="dxa" w:w="2256"/>
            <w:tcMar>
              <w:top w:w="80" w:type="dxa"/>
              <w:start w:w="90" w:type="dxa"/>
              <w:bottom w:w="80" w:type="dxa"/>
              <w:end w:w="90" w:type="dxa"/>
            </w:tcMar>
          </w:tcPr>
          <w:p>
            <w:r>
              <w:rPr>
                <w:rFonts w:ascii="Malgun Gothic" w:hAnsi="Malgun Gothic" w:eastAsia="Malgun Gothic"/>
                <w:b w:val="0"/>
                <w:color w:val="212529"/>
                <w:sz w:val="17"/>
              </w:rPr>
              <w:t>심리사회적 위기의 해결</w:t>
            </w:r>
          </w:p>
        </w:tc>
        <w:tc>
          <w:tcPr>
            <w:tcW w:type="dxa" w:w="2256"/>
            <w:tcMar>
              <w:top w:w="80" w:type="dxa"/>
              <w:start w:w="90" w:type="dxa"/>
              <w:bottom w:w="80" w:type="dxa"/>
              <w:end w:w="90" w:type="dxa"/>
            </w:tcMar>
          </w:tcPr>
          <w:p>
            <w:r>
              <w:rPr>
                <w:rFonts w:ascii="Malgun Gothic" w:hAnsi="Malgun Gothic" w:eastAsia="Malgun Gothic"/>
                <w:b w:val="0"/>
                <w:color w:val="212529"/>
                <w:sz w:val="17"/>
              </w:rPr>
              <w:t>인지적 갈등·역할수용·추론의 재구성</w:t>
            </w:r>
          </w:p>
        </w:tc>
      </w:tr>
      <w:tr>
        <w:trPr>
          <w:cantSplit/>
        </w:trPr>
        <w:tc>
          <w:tcPr>
            <w:tcW w:type="dxa" w:w="2256"/>
            <w:tcMar>
              <w:top w:w="80" w:type="dxa"/>
              <w:start w:w="90" w:type="dxa"/>
              <w:bottom w:w="80" w:type="dxa"/>
              <w:end w:w="90" w:type="dxa"/>
            </w:tcMar>
          </w:tcPr>
          <w:p>
            <w:r>
              <w:rPr>
                <w:rFonts w:ascii="Malgun Gothic" w:hAnsi="Malgun Gothic" w:eastAsia="Malgun Gothic"/>
                <w:b w:val="0"/>
                <w:color w:val="212529"/>
                <w:sz w:val="17"/>
              </w:rPr>
              <w:t>공통점</w:t>
            </w:r>
          </w:p>
        </w:tc>
        <w:tc>
          <w:tcPr>
            <w:tcW w:type="dxa" w:w="2256"/>
            <w:tcMar>
              <w:top w:w="80" w:type="dxa"/>
              <w:start w:w="90" w:type="dxa"/>
              <w:bottom w:w="80" w:type="dxa"/>
              <w:end w:w="90" w:type="dxa"/>
            </w:tcMar>
          </w:tcPr>
          <w:p>
            <w:r>
              <w:rPr>
                <w:rFonts w:ascii="Malgun Gothic" w:hAnsi="Malgun Gothic" w:eastAsia="Malgun Gothic"/>
                <w:b w:val="0"/>
                <w:color w:val="212529"/>
                <w:sz w:val="17"/>
              </w:rPr>
              <w:t>단계적·질적 변화 강조</w:t>
            </w:r>
          </w:p>
        </w:tc>
        <w:tc>
          <w:tcPr>
            <w:tcW w:type="dxa" w:w="2256"/>
            <w:tcMar>
              <w:top w:w="80" w:type="dxa"/>
              <w:start w:w="90" w:type="dxa"/>
              <w:bottom w:w="80" w:type="dxa"/>
              <w:end w:w="90" w:type="dxa"/>
            </w:tcMar>
          </w:tcPr>
          <w:p>
            <w:r>
              <w:rPr>
                <w:rFonts w:ascii="Malgun Gothic" w:hAnsi="Malgun Gothic" w:eastAsia="Malgun Gothic"/>
                <w:b w:val="0"/>
                <w:color w:val="212529"/>
                <w:sz w:val="17"/>
              </w:rPr>
              <w:t>단계적·질적 변화 강조</w:t>
            </w:r>
          </w:p>
        </w:tc>
        <w:tc>
          <w:tcPr>
            <w:tcW w:type="dxa" w:w="2256"/>
            <w:tcMar>
              <w:top w:w="80" w:type="dxa"/>
              <w:start w:w="90" w:type="dxa"/>
              <w:bottom w:w="80" w:type="dxa"/>
              <w:end w:w="90" w:type="dxa"/>
            </w:tcMar>
          </w:tcPr>
          <w:p>
            <w:r>
              <w:rPr>
                <w:rFonts w:ascii="Malgun Gothic" w:hAnsi="Malgun Gothic" w:eastAsia="Malgun Gothic"/>
                <w:b w:val="0"/>
                <w:color w:val="212529"/>
                <w:sz w:val="17"/>
              </w:rPr>
              <w:t>단계적·질적 변화 강조</w:t>
            </w:r>
          </w:p>
        </w:tc>
      </w:tr>
      <w:tr>
        <w:trPr>
          <w:cantSplit/>
        </w:trPr>
        <w:tc>
          <w:tcPr>
            <w:tcW w:type="dxa" w:w="2256"/>
            <w:tcMar>
              <w:top w:w="80" w:type="dxa"/>
              <w:start w:w="90" w:type="dxa"/>
              <w:bottom w:w="80" w:type="dxa"/>
              <w:end w:w="90" w:type="dxa"/>
            </w:tcMar>
          </w:tcPr>
          <w:p>
            <w:r>
              <w:rPr>
                <w:rFonts w:ascii="Malgun Gothic" w:hAnsi="Malgun Gothic" w:eastAsia="Malgun Gothic"/>
                <w:b w:val="0"/>
                <w:color w:val="212529"/>
                <w:sz w:val="17"/>
              </w:rPr>
              <w:t>활용 시 유의점</w:t>
            </w:r>
          </w:p>
        </w:tc>
        <w:tc>
          <w:tcPr>
            <w:tcW w:type="dxa" w:w="2256"/>
            <w:tcMar>
              <w:top w:w="80" w:type="dxa"/>
              <w:start w:w="90" w:type="dxa"/>
              <w:bottom w:w="80" w:type="dxa"/>
              <w:end w:w="90" w:type="dxa"/>
            </w:tcMar>
          </w:tcPr>
          <w:p>
            <w:r>
              <w:rPr>
                <w:rFonts w:ascii="Malgun Gothic" w:hAnsi="Malgun Gothic" w:eastAsia="Malgun Gothic"/>
                <w:b w:val="0"/>
                <w:color w:val="212529"/>
                <w:sz w:val="17"/>
              </w:rPr>
              <w:t>연령·단계를 고정적으로 적용하지 않기</w:t>
            </w:r>
          </w:p>
        </w:tc>
        <w:tc>
          <w:tcPr>
            <w:tcW w:type="dxa" w:w="2256"/>
            <w:tcMar>
              <w:top w:w="80" w:type="dxa"/>
              <w:start w:w="90" w:type="dxa"/>
              <w:bottom w:w="80" w:type="dxa"/>
              <w:end w:w="90" w:type="dxa"/>
            </w:tcMar>
          </w:tcPr>
          <w:p>
            <w:r>
              <w:rPr>
                <w:rFonts w:ascii="Malgun Gothic" w:hAnsi="Malgun Gothic" w:eastAsia="Malgun Gothic"/>
                <w:b w:val="0"/>
                <w:color w:val="212529"/>
                <w:sz w:val="17"/>
              </w:rPr>
              <w:t>사회문화적·생애 맥락 고려</w:t>
            </w:r>
          </w:p>
        </w:tc>
        <w:tc>
          <w:tcPr>
            <w:tcW w:type="dxa" w:w="2256"/>
            <w:tcMar>
              <w:top w:w="80" w:type="dxa"/>
              <w:start w:w="90" w:type="dxa"/>
              <w:bottom w:w="80" w:type="dxa"/>
              <w:end w:w="90" w:type="dxa"/>
            </w:tcMar>
          </w:tcPr>
          <w:p>
            <w:r>
              <w:rPr>
                <w:rFonts w:ascii="Malgun Gothic" w:hAnsi="Malgun Gothic" w:eastAsia="Malgun Gothic"/>
                <w:b w:val="0"/>
                <w:color w:val="212529"/>
                <w:sz w:val="17"/>
              </w:rPr>
              <w:t>추론과 실제 행동, 정서·관계 요인을 구분하기</w:t>
            </w:r>
          </w:p>
        </w:tc>
      </w:tr>
    </w:tbl>
    <w:p>
      <w:pPr>
        <w:spacing w:line="372" w:lineRule="auto" w:after="140"/>
        <w:ind w:firstLine="397"/>
        <w:jc w:val="both"/>
      </w:pPr>
      <w:r>
        <w:rPr>
          <w:rFonts w:ascii="Malgun Gothic" w:hAnsi="Malgun Gothic" w:eastAsia="Malgun Gothic"/>
          <w:color w:val="212529"/>
          <w:sz w:val="21"/>
        </w:rPr>
        <w:t>세 이론을 함께 살펴보면 인간 발달은 하나의 차원만으로 설명하기 어렵다는 점이 분명해진다. 인지적 사고 능력이 발달하더라도 안정적인 자아정체감과 사회적 관계가 자동으로 형성되는 것은 아니며, 높은 수준의 추론 능력이 실제로 도덕적 행동을 보장하는 것도 아니다. 반대로 심리사회적 관계와 도덕적 경험 역시 인지적 이해 능력과 상호작용한다. 따라서 발달을 이해할 때에는 인지, 정서·자아, 사회적 관계, 도덕 판단을 서로 연결된 체계로 볼 필요가 있다.</w:t>
      </w:r>
    </w:p>
    <w:p>
      <w:pPr>
        <w:spacing w:line="372" w:lineRule="auto" w:after="140"/>
        <w:ind w:firstLine="397"/>
        <w:jc w:val="both"/>
      </w:pPr>
      <w:r>
        <w:rPr>
          <w:rFonts w:ascii="Malgun Gothic" w:hAnsi="Malgun Gothic" w:eastAsia="Malgun Gothic"/>
          <w:color w:val="212529"/>
          <w:sz w:val="21"/>
        </w:rPr>
        <w:t>학습자는 세 이론의 가장 중요한 공통적 시사점이 인간을 변화 가능한 존재로 본다는 데 있다고 평가한다. 각 이론의 단계는 고정된 낙인을 부여하는 기준이 아니라, 현재의 발달 특성을 이해하고 다음 수준의 성장을 지원하기 위한 지도라고 해석해야 한다. 교육자와 상담자는 학습자의 현재 수준을 존중하면서 새로운 경험과 적절한 갈등, 사회적 관계, 성찰의 기회를 제공해야 하며, 개인차와 문화적 차이를 충분히 고려해야 한다.</w:t>
      </w:r>
    </w:p>
    <w:p/>
    <w:p>
      <w:pPr>
        <w:pStyle w:val="Heading1"/>
      </w:pPr>
      <w:r>
        <w:t>Ⅲ. 결론</w:t>
      </w:r>
    </w:p>
    <w:p>
      <w:pPr>
        <w:spacing w:line="372" w:lineRule="auto" w:after="140"/>
        <w:ind w:firstLine="397"/>
        <w:jc w:val="both"/>
      </w:pPr>
      <w:r>
        <w:rPr>
          <w:rFonts w:ascii="Malgun Gothic" w:hAnsi="Malgun Gothic" w:eastAsia="Malgun Gothic"/>
          <w:color w:val="212529"/>
          <w:sz w:val="21"/>
        </w:rPr>
        <w:t>피아제, 에릭슨, 콜버그의 발달이론은 인간 성장의 서로 다른 측면을 설명하지만, 발달을 질적으로 변화하는 과정으로 이해했다는 점에서 공통된 의의를 가진다. 피아제는 아동이 환경과 상호작용하면서 도식을 구성하고 동화와 조절을 통해 사고 구조를 변화시킨다고 보았으며, 감각운동기에서 형식적 조작기에 이르는 인지발달 단계를 제시하였다. 에릭슨은 인간이 전 생애 동안 사회적 관계 속에서 심리사회적 위기를 해결하며 자아를 발달시킨다고 설명하였다. 콜버그는 도덕적 딜레마에 대한 판단 근거가 처벌과 개인적 이익 중심에서 사회적 규범, 나아가 보편적 원리 중심으로 확장될 수 있다고 보았다.</w:t>
      </w:r>
    </w:p>
    <w:p>
      <w:pPr>
        <w:spacing w:line="372" w:lineRule="auto" w:after="140"/>
        <w:ind w:firstLine="397"/>
        <w:jc w:val="both"/>
      </w:pPr>
      <w:r>
        <w:rPr>
          <w:rFonts w:ascii="Malgun Gothic" w:hAnsi="Malgun Gothic" w:eastAsia="Malgun Gothic"/>
          <w:color w:val="212529"/>
          <w:sz w:val="21"/>
        </w:rPr>
        <w:t>학습자의 입장에서 세 이론은 오늘날에도 교육과 상담에서 충분한 가치가 있지만, 단계와 연령을 절대적 기준으로 적용해서는 안 된다고 판단한다. 발달은 개인의 경험, 문화, 사회적 조건, 과제의 특성에 따라 다양한 속도와 형태로 나타날 수 있기 때문이다. 특히 발달 단계에서 기대되는 특징과 실제 개인의 능력을 동일시하면 오히려 개인차를 놓치거나 고정관념을 강화할 위험이 있다.</w:t>
      </w:r>
    </w:p>
    <w:p>
      <w:pPr>
        <w:spacing w:line="372" w:lineRule="auto" w:after="140"/>
        <w:ind w:firstLine="397"/>
        <w:jc w:val="both"/>
      </w:pPr>
      <w:r>
        <w:rPr>
          <w:rFonts w:ascii="Malgun Gothic" w:hAnsi="Malgun Gothic" w:eastAsia="Malgun Gothic"/>
          <w:color w:val="212529"/>
          <w:sz w:val="21"/>
        </w:rPr>
        <w:t>결국 세 이론을 가장 유용하게 활용하는 방식은 사람을 단계에 맞추어 분류하는 것이 아니라, 현재 어떤 사고 방식과 관계적 과제, 도덕적 판단 근거를 가지고 있는지 이해하는 데 활용하는 것이다. 피아제의 능동적 구성, 에릭슨의 전 생애적 성장, 콜버그의 관점 확장이라는 핵심 아이디어를 통합하면 인간 발달은 단선적인 성숙이 아니라 경험과 관계, 성찰을 통해 지속적으로 재구성되는 과정이라고 볼 수 있다. 이러한 관점은 학습자의 부족함을 평가하는 데서 그치지 않고 다음 발달을 지원하는 교육적·상담적 접근을 가능하게 한다는 점에서 의미가 있다.</w:t>
      </w:r>
    </w:p>
    <w:p>
      <w:pPr>
        <w:pStyle w:val="Heading1"/>
      </w:pPr>
      <w:r>
        <w:t>참고문헌</w:t>
      </w:r>
    </w:p>
    <w:p>
      <w:pPr>
        <w:spacing w:line="269" w:lineRule="auto" w:after="60"/>
        <w:ind w:left="397" w:hanging="397"/>
      </w:pPr>
      <w:r>
        <w:rPr>
          <w:rFonts w:ascii="Malgun Gothic" w:hAnsi="Malgun Gothic" w:eastAsia="Malgun Gothic"/>
          <w:b w:val="0"/>
          <w:color w:val="212529"/>
          <w:sz w:val="17"/>
        </w:rPr>
        <w:t>Erikson, E. H. (1963). Childhood and society (2nd ed., rev. &amp; enl.). W. W. Norton &amp; Company.</w:t>
      </w:r>
    </w:p>
    <w:p>
      <w:pPr>
        <w:spacing w:line="269" w:lineRule="auto" w:after="60"/>
        <w:ind w:left="397" w:hanging="397"/>
      </w:pPr>
      <w:r>
        <w:rPr>
          <w:rFonts w:ascii="Malgun Gothic" w:hAnsi="Malgun Gothic" w:eastAsia="Malgun Gothic"/>
          <w:b w:val="0"/>
          <w:color w:val="212529"/>
          <w:sz w:val="17"/>
        </w:rPr>
        <w:t>Kohlberg, L. (1984). The psychology of moral development: The nature and validity of moral stages (Essays on moral development, Vol. 2). Harper &amp; Row.</w:t>
      </w:r>
    </w:p>
    <w:p>
      <w:pPr>
        <w:spacing w:line="269" w:lineRule="auto" w:after="60"/>
        <w:ind w:left="397" w:hanging="397"/>
      </w:pPr>
      <w:r>
        <w:rPr>
          <w:rFonts w:ascii="Malgun Gothic" w:hAnsi="Malgun Gothic" w:eastAsia="Malgun Gothic"/>
          <w:b w:val="0"/>
          <w:color w:val="212529"/>
          <w:sz w:val="17"/>
        </w:rPr>
        <w:t>Piaget, J. (1952). The origins of intelligence in children (M. Cook, Trans.; 2nd ed.). International Universities Press.</w:t>
      </w:r>
    </w:p>
    <w:p>
      <w:pPr>
        <w:spacing w:line="269" w:lineRule="auto" w:after="60"/>
        <w:ind w:left="397" w:hanging="397"/>
      </w:pPr>
      <w:r>
        <w:rPr>
          <w:rFonts w:ascii="Malgun Gothic" w:hAnsi="Malgun Gothic" w:eastAsia="Malgun Gothic"/>
          <w:b w:val="0"/>
          <w:color w:val="212529"/>
          <w:sz w:val="17"/>
        </w:rPr>
        <w:t>Crain, W. (2016). Theories of development: Concepts and applications (6th ed.). Routledge.</w:t>
      </w:r>
    </w:p>
    <w:p>
      <w:pPr>
        <w:spacing w:before="200"/>
      </w:pPr>
      <w:r>
        <w:rPr>
          <w:rFonts w:ascii="Malgun Gothic" w:hAnsi="Malgun Gothic" w:eastAsia="Malgun Gothic"/>
          <w:b w:val="0"/>
          <w:color w:val="5A626C"/>
          <w:sz w:val="17"/>
        </w:rPr>
        <w:t>※ 참고문헌은 이론의 원전 및 대표적인 발달이론 개설서를 중심으로 제시하였다.</w:t>
      </w:r>
    </w:p>
    <w:p>
      <w:pPr>
        <w:pageBreakBefore/>
        <w:spacing w:before="500"/>
        <w:jc w:val="center"/>
      </w:pPr>
      <w:r>
        <w:rPr>
          <w:rFonts w:ascii="Malgun Gothic" w:hAnsi="Malgun Gothic" w:eastAsia="Malgun Gothic"/>
          <w:b/>
          <w:color w:val="1F374E"/>
          <w:sz w:val="40"/>
        </w:rPr>
        <w:t>과제 참고자료 이용 안내</w:t>
      </w:r>
    </w:p>
    <w:p>
      <w:pPr>
        <w:spacing w:after="360"/>
        <w:jc w:val="center"/>
      </w:pPr>
      <w:r>
        <w:rPr>
          <w:rFonts w:ascii="Malgun Gothic" w:hAnsi="Malgun Gothic" w:eastAsia="Malgun Gothic"/>
          <w:b w:val="0"/>
          <w:color w:val="5A626C"/>
          <w:sz w:val="21"/>
        </w:rPr>
        <w:t>본 페이지는 과제 제출 전 반드시 확인해 주세요.</w:t>
      </w:r>
    </w:p>
    <w:tbl>
      <w:tblPr>
        <w:tblW w:type="auto" w:w="0"/>
        <w:jc w:val="center"/>
        <w:tblLook w:firstColumn="1" w:firstRow="1" w:lastColumn="0" w:lastRow="0" w:noHBand="0" w:noVBand="1" w:val="04A0"/>
      </w:tblPr>
      <w:tblGrid>
        <w:gridCol w:w="9026"/>
      </w:tblGrid>
      <w:tr>
        <w:tc>
          <w:tcPr>
            <w:tcW w:type="dxa" w:w="9026"/>
            <w:shd w:fill="FFF4E5"/>
            <w:tcMar>
              <w:top w:w="260" w:type="dxa"/>
              <w:start w:w="300" w:type="dxa"/>
              <w:bottom w:w="260" w:type="dxa"/>
              <w:end w:w="300" w:type="dxa"/>
            </w:tcMar>
          </w:tcPr>
          <w:p>
            <w:r>
              <w:rPr>
                <w:rFonts w:ascii="Malgun Gothic" w:hAnsi="Malgun Gothic" w:eastAsia="Malgun Gothic"/>
                <w:b/>
                <w:color w:val="935C00"/>
                <w:sz w:val="26"/>
              </w:rPr>
              <w:t>⚠️ 주의사항</w:t>
            </w:r>
          </w:p>
          <w:p>
            <w:pPr>
              <w:spacing w:after="60"/>
              <w:jc w:val="left"/>
            </w:pPr>
            <w:r>
              <w:rPr>
                <w:rFonts w:ascii="Malgun Gothic" w:hAnsi="Malgun Gothic" w:eastAsia="Malgun Gothic"/>
                <w:b w:val="0"/>
                <w:color w:val="212529"/>
                <w:sz w:val="21"/>
              </w:rPr>
              <w:t>본 자료는 학점은행제 과제 참고용 샘플입니다.</w:t>
            </w:r>
          </w:p>
          <w:p>
            <w:pPr>
              <w:spacing w:after="60"/>
              <w:jc w:val="left"/>
            </w:pPr>
            <w:r>
              <w:rPr>
                <w:rFonts w:ascii="Malgun Gothic" w:hAnsi="Malgun Gothic" w:eastAsia="Malgun Gothic"/>
                <w:b w:val="0"/>
                <w:color w:val="212529"/>
                <w:sz w:val="21"/>
              </w:rPr>
              <w:t>위 학습 자료를 그대로 제출할 경우 모사율(표절률)로 인하여</w:t>
            </w:r>
          </w:p>
          <w:p>
            <w:pPr>
              <w:spacing w:after="60"/>
              <w:jc w:val="left"/>
            </w:pPr>
            <w:r>
              <w:rPr>
                <w:rFonts w:ascii="Malgun Gothic" w:hAnsi="Malgun Gothic" w:eastAsia="Malgun Gothic"/>
                <w:b w:val="0"/>
                <w:color w:val="212529"/>
                <w:sz w:val="21"/>
              </w:rPr>
              <w:t>성적 불이익 또는 해당 과목 0점 처리될 수 있습니다.</w:t>
            </w:r>
          </w:p>
          <w:p>
            <w:pPr>
              <w:spacing w:after="60"/>
              <w:jc w:val="left"/>
            </w:pPr>
            <w:r>
              <w:rPr>
                <w:rFonts w:ascii="Malgun Gothic" w:hAnsi="Malgun Gothic" w:eastAsia="Malgun Gothic"/>
                <w:b w:val="0"/>
                <w:color w:val="212529"/>
                <w:sz w:val="21"/>
              </w:rPr>
              <w:t>반드시 본인의 언어로 수정·재작성하여 제출하시기 바랍니다.</w:t>
            </w:r>
          </w:p>
        </w:tc>
      </w:tr>
    </w:tbl>
    <w:p>
      <w:pPr>
        <w:spacing w:before="440"/>
      </w:pPr>
      <w:r>
        <w:rPr>
          <w:rFonts w:ascii="Malgun Gothic" w:hAnsi="Malgun Gothic" w:eastAsia="Malgun Gothic"/>
          <w:b/>
          <w:color w:val="1F374E"/>
          <w:sz w:val="26"/>
        </w:rPr>
        <w:t>📌 과제 수정이 어려우신가요?</w:t>
      </w:r>
    </w:p>
    <w:p>
      <w:pPr>
        <w:spacing w:after="60"/>
      </w:pPr>
      <w:r>
        <w:rPr>
          <w:rFonts w:ascii="Malgun Gothic" w:hAnsi="Malgun Gothic" w:eastAsia="Malgun Gothic"/>
          <w:b w:val="0"/>
          <w:color w:val="212529"/>
          <w:sz w:val="21"/>
        </w:rPr>
        <w:t>국민원격교육관리센터에서 1:1 과제 수정 도움을 드립니다.</w:t>
      </w:r>
    </w:p>
    <w:p>
      <w:pPr>
        <w:spacing w:after="60"/>
      </w:pPr>
      <w:r>
        <w:rPr>
          <w:rFonts w:ascii="Malgun Gothic" w:hAnsi="Malgun Gothic" w:eastAsia="Malgun Gothic"/>
          <w:b w:val="0"/>
          <w:color w:val="212529"/>
          <w:sz w:val="21"/>
        </w:rPr>
        <w:t>아래 연락처로 문의해 주세요.</w:t>
      </w:r>
    </w:p>
    <w:tbl>
      <w:tblPr>
        <w:tblStyle w:val="TableGrid"/>
        <w:tblW w:type="auto" w:w="0"/>
        <w:jc w:val="center"/>
        <w:tblLook w:firstColumn="1" w:firstRow="1" w:lastColumn="0" w:lastRow="0" w:noHBand="0" w:noVBand="1" w:val="04A0"/>
      </w:tblPr>
      <w:tblGrid>
        <w:gridCol w:w="4513"/>
        <w:gridCol w:w="4513"/>
      </w:tblGrid>
      <w:tr>
        <w:tc>
          <w:tcPr>
            <w:tcW w:type="dxa" w:w="4513"/>
            <w:tcMar>
              <w:top w:w="120" w:type="dxa"/>
              <w:start w:w="140" w:type="dxa"/>
              <w:bottom w:w="120" w:type="dxa"/>
              <w:end w:w="140" w:type="dxa"/>
            </w:tcMar>
            <w:shd w:fill="EAF1F7"/>
          </w:tcPr>
          <w:p>
            <w:r>
              <w:rPr>
                <w:rFonts w:ascii="Malgun Gothic" w:hAnsi="Malgun Gothic" w:eastAsia="Malgun Gothic"/>
                <w:b/>
                <w:color w:val="1F374E"/>
                <w:sz w:val="20"/>
              </w:rPr>
              <w:t>📞 전화</w:t>
            </w:r>
          </w:p>
        </w:tc>
        <w:tc>
          <w:tcPr>
            <w:tcW w:type="dxa" w:w="4513"/>
            <w:tcMar>
              <w:top w:w="120" w:type="dxa"/>
              <w:start w:w="140" w:type="dxa"/>
              <w:bottom w:w="120" w:type="dxa"/>
              <w:end w:w="140" w:type="dxa"/>
            </w:tcMar>
          </w:tcPr>
          <w:p>
            <w:r>
              <w:rPr>
                <w:rFonts w:ascii="Malgun Gothic" w:hAnsi="Malgun Gothic" w:eastAsia="Malgun Gothic"/>
                <w:b w:val="0"/>
                <w:color w:val="212529"/>
                <w:sz w:val="20"/>
              </w:rPr>
              <w:t>050-7878-7044</w:t>
            </w:r>
          </w:p>
        </w:tc>
      </w:tr>
      <w:tr>
        <w:tc>
          <w:tcPr>
            <w:tcW w:type="dxa" w:w="4513"/>
            <w:tcMar>
              <w:top w:w="120" w:type="dxa"/>
              <w:start w:w="140" w:type="dxa"/>
              <w:bottom w:w="120" w:type="dxa"/>
              <w:end w:w="140" w:type="dxa"/>
            </w:tcMar>
            <w:shd w:fill="EAF1F7"/>
          </w:tcPr>
          <w:p>
            <w:r>
              <w:rPr>
                <w:rFonts w:ascii="Malgun Gothic" w:hAnsi="Malgun Gothic" w:eastAsia="Malgun Gothic"/>
                <w:b/>
                <w:color w:val="1F374E"/>
                <w:sz w:val="20"/>
              </w:rPr>
              <w:t>💬 카카오톡</w:t>
            </w:r>
          </w:p>
        </w:tc>
        <w:tc>
          <w:tcPr>
            <w:tcW w:type="dxa" w:w="4513"/>
            <w:tcMar>
              <w:top w:w="120" w:type="dxa"/>
              <w:start w:w="140" w:type="dxa"/>
              <w:bottom w:w="120" w:type="dxa"/>
              <w:end w:w="140" w:type="dxa"/>
            </w:tcMar>
          </w:tcPr>
          <w:p>
            <w:r>
              <w:rPr>
                <w:rFonts w:ascii="Malgun Gothic" w:hAnsi="Malgun Gothic" w:eastAsia="Malgun Gothic"/>
                <w:b w:val="0"/>
                <w:color w:val="212529"/>
                <w:sz w:val="20"/>
              </w:rPr>
              <w:t>@국민원격교육관리센터</w:t>
            </w:r>
          </w:p>
        </w:tc>
      </w:tr>
      <w:tr>
        <w:tc>
          <w:tcPr>
            <w:tcW w:type="dxa" w:w="4513"/>
            <w:tcMar>
              <w:top w:w="120" w:type="dxa"/>
              <w:start w:w="140" w:type="dxa"/>
              <w:bottom w:w="120" w:type="dxa"/>
              <w:end w:w="140" w:type="dxa"/>
            </w:tcMar>
            <w:shd w:fill="EAF1F7"/>
          </w:tcPr>
          <w:p>
            <w:r>
              <w:rPr>
                <w:rFonts w:ascii="Malgun Gothic" w:hAnsi="Malgun Gothic" w:eastAsia="Malgun Gothic"/>
                <w:b/>
                <w:color w:val="1F374E"/>
                <w:sz w:val="20"/>
              </w:rPr>
              <w:t>🕐 운영시간</w:t>
            </w:r>
          </w:p>
        </w:tc>
        <w:tc>
          <w:tcPr>
            <w:tcW w:type="dxa" w:w="4513"/>
            <w:tcMar>
              <w:top w:w="120" w:type="dxa"/>
              <w:start w:w="140" w:type="dxa"/>
              <w:bottom w:w="120" w:type="dxa"/>
              <w:end w:w="140" w:type="dxa"/>
            </w:tcMar>
          </w:tcPr>
          <w:p>
            <w:r>
              <w:rPr>
                <w:rFonts w:ascii="Malgun Gothic" w:hAnsi="Malgun Gothic" w:eastAsia="Malgun Gothic"/>
                <w:b w:val="0"/>
                <w:color w:val="212529"/>
                <w:sz w:val="20"/>
              </w:rPr>
              <w:t>평일 10:00–19:00</w:t>
            </w:r>
          </w:p>
        </w:tc>
      </w:tr>
      <w:tr>
        <w:tc>
          <w:tcPr>
            <w:tcW w:type="dxa" w:w="4513"/>
            <w:tcMar>
              <w:top w:w="120" w:type="dxa"/>
              <w:start w:w="140" w:type="dxa"/>
              <w:bottom w:w="120" w:type="dxa"/>
              <w:end w:w="140" w:type="dxa"/>
            </w:tcMar>
            <w:shd w:fill="EAF1F7"/>
          </w:tcPr>
          <w:p>
            <w:r>
              <w:rPr>
                <w:rFonts w:ascii="Malgun Gothic" w:hAnsi="Malgun Gothic" w:eastAsia="Malgun Gothic"/>
                <w:b/>
                <w:color w:val="1F374E"/>
                <w:sz w:val="20"/>
              </w:rPr>
              <w:t>🌐 웹사이트</w:t>
            </w:r>
          </w:p>
        </w:tc>
        <w:tc>
          <w:tcPr>
            <w:tcW w:type="dxa" w:w="4513"/>
            <w:tcMar>
              <w:top w:w="120" w:type="dxa"/>
              <w:start w:w="140" w:type="dxa"/>
              <w:bottom w:w="120" w:type="dxa"/>
              <w:end w:w="140" w:type="dxa"/>
            </w:tcMar>
          </w:tcPr>
          <w:p>
            <w:r>
              <w:rPr>
                <w:rFonts w:ascii="Malgun Gothic" w:hAnsi="Malgun Gothic" w:eastAsia="Malgun Gothic"/>
                <w:b w:val="0"/>
                <w:color w:val="212529"/>
                <w:sz w:val="20"/>
              </w:rPr>
              <w:t>korealms.co.kr</w:t>
            </w:r>
          </w:p>
        </w:tc>
      </w:tr>
    </w:tbl>
    <w:p>
      <w:pPr>
        <w:spacing w:before="400"/>
        <w:jc w:val="center"/>
      </w:pPr>
      <w:r>
        <w:rPr>
          <w:rFonts w:ascii="Malgun Gothic" w:hAnsi="Malgun Gothic" w:eastAsia="Malgun Gothic"/>
          <w:b w:val="0"/>
          <w:color w:val="5A626C"/>
          <w:sz w:val="18"/>
        </w:rPr>
        <w:t>과제의 핵심 내용과 구조를 참고하되, 개인의 경험과 의견을 추가하여 재작성하는 것을 권장합니다.</w:t>
      </w:r>
    </w:p>
    <w:sectPr w:rsidR="00FC693F" w:rsidRPr="0006063C" w:rsidSect="00034616">
      <w:footerReference w:type="default" r:id="rId9"/>
      <w:footerReference w:type="first" r:id="rId10"/>
      <w:pgSz w:w="11906" w:h="16838"/>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algun Gothic" w:hAnsi="Malgun Gothic"/>
        <w:color w:val="5A626C"/>
        <w:sz w:val="16"/>
      </w:rPr>
      <w:t xml:space="preserve">심리학개론 과제 참고용 샘플  |  </w:t>
    </w:r>
    <w:r>
      <w:rPr>
        <w:rFonts w:ascii="Malgun Gothic" w:hAnsi="Malgun Gothic"/>
        <w:color w:val="5A626C"/>
        <w:sz w:val="16"/>
      </w:rP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72" w:lineRule="auto" w:after="140"/>
      <w:jc w:val="both"/>
    </w:pPr>
    <w:rPr>
      <w:rFonts w:ascii="Malgun Gothic" w:hAnsi="Malgun Gothic" w:eastAsia="Malgun Gothic"/>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80" w:after="200"/>
      <w:outlineLvl w:val="0"/>
    </w:pPr>
    <w:rPr>
      <w:rFonts w:asciiTheme="majorHAnsi" w:eastAsiaTheme="majorEastAsia" w:hAnsiTheme="majorHAnsi" w:cstheme="majorBidi" w:ascii="Malgun Gothic" w:hAnsi="Malgun Gothic" w:eastAsia="Malgun Gothic"/>
      <w:b/>
      <w:bCs/>
      <w:color w:val="1F374E"/>
      <w:sz w:val="32"/>
      <w:szCs w:val="28"/>
    </w:rPr>
  </w:style>
  <w:style w:type="paragraph" w:styleId="Heading2">
    <w:name w:val="heading 2"/>
    <w:basedOn w:val="Normal"/>
    <w:next w:val="Normal"/>
    <w:link w:val="Heading2Char"/>
    <w:uiPriority w:val="9"/>
    <w:unhideWhenUsed/>
    <w:qFormat/>
    <w:rsid w:val="00FC693F"/>
    <w:pPr>
      <w:keepNext/>
      <w:keepLines/>
      <w:spacing w:before="160" w:after="120"/>
      <w:outlineLvl w:val="1"/>
    </w:pPr>
    <w:rPr>
      <w:rFonts w:asciiTheme="majorHAnsi" w:eastAsiaTheme="majorEastAsia" w:hAnsiTheme="majorHAnsi" w:cstheme="majorBidi" w:ascii="Malgun Gothic" w:hAnsi="Malgun Gothic" w:eastAsia="Malgun Gothic"/>
      <w:b/>
      <w:bCs/>
      <w:color w:val="48658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Malgun Gothic" w:hAnsi="Malgun Gothic" w:eastAsia="Malgun Gothic"/>
      <w:b/>
      <w:bCs/>
      <w:color w:val="1F374E"/>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ascii="Malgun Gothic" w:hAnsi="Malgun Gothic" w:eastAsia="Malgun Gothic"/>
      <w:b/>
      <w:color w:val="1F374E"/>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verSubtitle">
    <w:name w:val="Cover Subtitle"/>
    <w:pPr>
      <w:jc w:val="center"/>
    </w:pPr>
    <w:rPr>
      <w:rFonts w:ascii="Malgun Gothic" w:hAnsi="Malgun Gothic" w:eastAsia="Malgun Gothic"/>
      <w:color w:val="5A626C"/>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심리학개론 - 피아제·에릭슨·콜버그 발달이론의 주요 내용 및 학습자 평가</dc:title>
  <dc:subject>학점은행제 과제 참고용 샘플</dc:subject>
  <dc:creator>국민원격교육관리센터</dc:creator>
  <cp:keywords>심리학개론, 피아제, 에릭슨, 콜버그, 인지발달, 심리사회적 발달, 도덕성 발달</cp:keywords>
  <dc:description>generated by python-docx</dc:description>
  <cp:lastModifiedBy/>
  <cp:revision>1</cp:revision>
  <dcterms:created xsi:type="dcterms:W3CDTF">2013-12-23T23:15:00Z</dcterms:created>
  <dcterms:modified xsi:type="dcterms:W3CDTF">2013-12-23T23:15:00Z</dcterms:modified>
  <cp:category/>
</cp:coreProperties>
</file>