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300"/>
        <w:jc w:val="center"/>
      </w:pPr>
      <w:r>
        <w:rPr>
          <w:rFonts w:ascii="Malgun Gothic" w:hAnsi="Malgun Gothic" w:eastAsia="Malgun Gothic"/>
          <w:b/>
          <w:color w:val="2F5597"/>
          <w:sz w:val="36"/>
        </w:rPr>
        <w:t>교육심리학</w:t>
      </w:r>
    </w:p>
    <w:p>
      <w:pPr>
        <w:spacing w:before="320" w:after="120"/>
        <w:jc w:val="center"/>
      </w:pPr>
      <w:r>
        <w:rPr>
          <w:rFonts w:ascii="Malgun Gothic" w:hAnsi="Malgun Gothic" w:eastAsia="Malgun Gothic"/>
          <w:b/>
          <w:color w:val="17365D"/>
          <w:sz w:val="44"/>
        </w:rPr>
        <w:t>조작적 조건형성의 개념과 특징, 교육적 적용 및 생활 사례 분석</w:t>
      </w:r>
    </w:p>
    <w:p>
      <w:pPr>
        <w:spacing w:before="160"/>
        <w:jc w:val="center"/>
      </w:pPr>
      <w:r>
        <w:rPr>
          <w:rFonts w:ascii="Malgun Gothic" w:hAnsi="Malgun Gothic" w:eastAsia="Malgun Gothic"/>
          <w:color w:val="666666"/>
          <w:sz w:val="21"/>
        </w:rPr>
        <w:t>학점은행제 과제 참고용 샘플</w:t>
      </w:r>
    </w:p>
    <w:p>
      <w:pPr>
        <w:jc w:val="center"/>
      </w:pPr>
      <w:r>
        <w:rPr>
          <w:rFonts w:ascii="Malgun Gothic" w:hAnsi="Malgun Gothic" w:eastAsia="Malgun Gothic"/>
          <w:color w:val="2F5597"/>
          <w:sz w:val="20"/>
        </w:rPr>
        <w:t>━━━━━━━━━━━━━━━━━━━━━━━━━━━━</w:t>
      </w:r>
    </w:p>
    <w:p>
      <w:pPr>
        <w:spacing w:before="520" w:after="200"/>
        <w:jc w:val="left"/>
      </w:pPr>
      <w:r>
        <w:rPr>
          <w:rFonts w:ascii="Malgun Gothic" w:hAnsi="Malgun Gothic" w:eastAsia="Malgun Gothic"/>
          <w:b/>
          <w:color w:val="17365D"/>
          <w:sz w:val="28"/>
        </w:rPr>
        <w:t>목 차</w:t>
      </w:r>
    </w:p>
    <w:p>
      <w:pPr>
        <w:spacing w:after="100"/>
        <w:ind w:left="227"/>
      </w:pPr>
      <w:r>
        <w:rPr>
          <w:rFonts w:ascii="Malgun Gothic" w:hAnsi="Malgun Gothic" w:eastAsia="Malgun Gothic"/>
          <w:color w:val="222222"/>
          <w:sz w:val="21"/>
        </w:rPr>
        <w:t>Ⅰ. 서론</w:t>
      </w:r>
    </w:p>
    <w:p>
      <w:pPr>
        <w:spacing w:after="100"/>
        <w:ind w:left="227"/>
      </w:pPr>
      <w:r>
        <w:rPr>
          <w:rFonts w:ascii="Malgun Gothic" w:hAnsi="Malgun Gothic" w:eastAsia="Malgun Gothic"/>
          <w:color w:val="222222"/>
          <w:sz w:val="21"/>
        </w:rPr>
        <w:t>Ⅱ. 본론</w:t>
      </w:r>
    </w:p>
    <w:p>
      <w:pPr>
        <w:spacing w:after="100"/>
        <w:ind w:left="227"/>
      </w:pPr>
      <w:r>
        <w:rPr>
          <w:rFonts w:ascii="Malgun Gothic" w:hAnsi="Malgun Gothic" w:eastAsia="Malgun Gothic"/>
          <w:color w:val="222222"/>
          <w:sz w:val="21"/>
        </w:rPr>
        <w:t xml:space="preserve">  1. 조작적 조건형성의 개념과 이론적 배경</w:t>
      </w:r>
    </w:p>
    <w:p>
      <w:pPr>
        <w:spacing w:after="100"/>
        <w:ind w:left="227"/>
      </w:pPr>
      <w:r>
        <w:rPr>
          <w:rFonts w:ascii="Malgun Gothic" w:hAnsi="Malgun Gothic" w:eastAsia="Malgun Gothic"/>
          <w:color w:val="222222"/>
          <w:sz w:val="21"/>
        </w:rPr>
        <w:t xml:space="preserve">  2. 조작적 조건형성의 주요 특징과 핵심 원리</w:t>
      </w:r>
    </w:p>
    <w:p>
      <w:pPr>
        <w:spacing w:after="100"/>
        <w:ind w:left="227"/>
      </w:pPr>
      <w:r>
        <w:rPr>
          <w:rFonts w:ascii="Malgun Gothic" w:hAnsi="Malgun Gothic" w:eastAsia="Malgun Gothic"/>
          <w:color w:val="222222"/>
          <w:sz w:val="21"/>
        </w:rPr>
        <w:t xml:space="preserve">  3. 조작적 조건형성의 교육적 적용점</w:t>
      </w:r>
    </w:p>
    <w:p>
      <w:pPr>
        <w:spacing w:after="100"/>
        <w:ind w:left="227"/>
      </w:pPr>
      <w:r>
        <w:rPr>
          <w:rFonts w:ascii="Malgun Gothic" w:hAnsi="Malgun Gothic" w:eastAsia="Malgun Gothic"/>
          <w:color w:val="222222"/>
          <w:sz w:val="21"/>
        </w:rPr>
        <w:t xml:space="preserve">  4. 생활 속 조작적 조건화 사례 분석</w:t>
      </w:r>
    </w:p>
    <w:p>
      <w:pPr>
        <w:spacing w:after="100"/>
        <w:ind w:left="227"/>
      </w:pPr>
      <w:r>
        <w:rPr>
          <w:rFonts w:ascii="Malgun Gothic" w:hAnsi="Malgun Gothic" w:eastAsia="Malgun Gothic"/>
          <w:color w:val="222222"/>
          <w:sz w:val="21"/>
        </w:rPr>
        <w:t>Ⅲ. 결론</w:t>
      </w:r>
    </w:p>
    <w:p>
      <w:pPr>
        <w:spacing w:after="100"/>
        <w:ind w:left="227"/>
      </w:pPr>
      <w:r>
        <w:rPr>
          <w:rFonts w:ascii="Malgun Gothic" w:hAnsi="Malgun Gothic" w:eastAsia="Malgun Gothic"/>
          <w:color w:val="222222"/>
          <w:sz w:val="21"/>
        </w:rPr>
        <w:t>참고문헌</w:t>
      </w:r>
    </w:p>
    <w:p>
      <w:r>
        <w:br w:type="page"/>
      </w:r>
    </w:p>
    <w:p>
      <w:pPr>
        <w:pStyle w:val="Heading1"/>
        <w:spacing w:before="160" w:after="160"/>
      </w:pPr>
      <w:r>
        <w:rPr>
          <w:rFonts w:ascii="Malgun Gothic" w:hAnsi="Malgun Gothic" w:eastAsia="Malgun Gothic"/>
          <w:b/>
          <w:color w:val="17365D"/>
          <w:sz w:val="30"/>
        </w:rPr>
        <w:t>Ⅰ. 서론</w:t>
      </w:r>
    </w:p>
    <w:p>
      <w:pPr>
        <w:spacing w:before="0" w:after="100" w:line="396" w:lineRule="auto"/>
        <w:ind w:firstLine="454"/>
        <w:jc w:val="both"/>
      </w:pPr>
      <w:r>
        <w:rPr>
          <w:rFonts w:ascii="Malgun Gothic" w:hAnsi="Malgun Gothic" w:eastAsia="Malgun Gothic"/>
          <w:color w:val="222222"/>
          <w:sz w:val="21"/>
        </w:rPr>
        <w:t>학습은 단순히 지식을 습득하는 과정에 그치지 않고, 환경과의 상호작용을 통해 행동이 변화하고 그 변화가 비교적 지속되는 과정으로 이해할 수 있다. 교육심리학에서는 인간의 학습을 설명하기 위해 다양한 이론을 제시해 왔으며, 그중 행동주의 학습이론은 관찰 가능한 행동의 변화와 환경적 조건 사이의 관계를 체계적으로 설명한다. 행동주의 관점에서 특히 중요한 이론이 조작적 조건형성(operant conditioning)이다. 조작적 조건형성은 어떤 행동 뒤에 제시되는 결과가 그 행동의 미래 발생 가능성을 증가시키거나 감소시킨다는 원리를 중심으로 한다.</w:t>
      </w:r>
    </w:p>
    <w:p>
      <w:pPr>
        <w:spacing w:before="0" w:after="100" w:line="396" w:lineRule="auto"/>
        <w:ind w:firstLine="454"/>
        <w:jc w:val="both"/>
      </w:pPr>
      <w:r>
        <w:rPr>
          <w:rFonts w:ascii="Malgun Gothic" w:hAnsi="Malgun Gothic" w:eastAsia="Malgun Gothic"/>
          <w:color w:val="222222"/>
          <w:sz w:val="21"/>
        </w:rPr>
        <w:t>조작적 조건형성은 B. F. Skinner가 체계화한 이론으로, 학습자가 수동적으로 자극에 반응한다기보다 환경에 능동적으로 행동하고 그 결과에 따라 행동의 빈도가 달라진다고 본다. 예를 들어 학생이 과제를 성실히 수행한 후 교사의 칭찬을 받고 이후 과제 제출이 더 성실해진다면 칭찬은 해당 행동을 강화하는 결과로 기능한다. 반대로 수업 중 반복적으로 방해 행동을 했을 때 즐거운 활동 참여 기회가 제한되고 이후 방해 행동이 줄어든다면 그 결과는 행동을 감소시키는 처벌로 기능할 수 있다. 중요한 점은 어떤 자극이 본질적으로 강화물이나 처벌물이 되는 것이 아니라, 실제로 그 결과가 행동의 빈도를 어떻게 변화시켰는지에 따라 기능이 결정된다는 점이다.</w:t>
      </w:r>
    </w:p>
    <w:p>
      <w:pPr>
        <w:spacing w:before="0" w:after="100" w:line="396" w:lineRule="auto"/>
        <w:ind w:firstLine="454"/>
        <w:jc w:val="both"/>
      </w:pPr>
      <w:r>
        <w:rPr>
          <w:rFonts w:ascii="Malgun Gothic" w:hAnsi="Malgun Gothic" w:eastAsia="Malgun Gothic"/>
          <w:color w:val="222222"/>
          <w:sz w:val="21"/>
        </w:rPr>
        <w:t>교육 현장에서 조작적 조건형성은 학습 습관 형성, 수업 참여 촉진, 과제 수행, 교실 규칙 준수, 문제행동 감소 등 다양한 영역에 적용될 수 있다. 그러나 외적 보상에 지나치게 의존하거나 학생에게 모욕감을 주는 처벌을 사용하는 것은 장기적인 학습동기와 자율성을 저해할 수 있기 때문에 신중한 적용이 필요하다. 따라서 교사는 강화와 처벌의 원리를 단순한 통제 기술로 사용하는 것이 아니라, 학생이 바람직한 행동을 점진적으로 내면화하고 자기조절 능력을 발달시키도록 돕는 방향으로 활용해야 한다.</w:t>
      </w:r>
    </w:p>
    <w:p>
      <w:pPr>
        <w:spacing w:before="0" w:after="100" w:line="396" w:lineRule="auto"/>
        <w:ind w:firstLine="454"/>
        <w:jc w:val="both"/>
      </w:pPr>
      <w:r>
        <w:rPr>
          <w:rFonts w:ascii="Malgun Gothic" w:hAnsi="Malgun Gothic" w:eastAsia="Malgun Gothic"/>
          <w:color w:val="222222"/>
          <w:sz w:val="21"/>
        </w:rPr>
        <w:t>본 과제에서는 첫째, 조작적 조건형성의 개념과 이론적 배경을 정리하고, 둘째, 정적 강화·부적 강화·정적 처벌·부적 처벌과 강화계획 등 주요 특징을 설명한다. 셋째, 학교교육에서 활용할 수 있는 구체적인 적용점을 살펴본다. 마지막으로 생활 속에서 쉽게 경험할 수 있는 개인적 사례를 선행사건-행동-결과의 관점에서 분석함으로써 조작적 조건형성이 실제 행동에 어떠한 방식으로 작용하는지 고찰하고자 한다.</w:t>
      </w:r>
    </w:p>
    <w:p>
      <w:r>
        <w:br w:type="page"/>
      </w:r>
    </w:p>
    <w:p>
      <w:pPr>
        <w:pStyle w:val="Heading1"/>
        <w:spacing w:before="160" w:after="160"/>
      </w:pPr>
      <w:r>
        <w:rPr>
          <w:rFonts w:ascii="Malgun Gothic" w:hAnsi="Malgun Gothic" w:eastAsia="Malgun Gothic"/>
          <w:b/>
          <w:color w:val="17365D"/>
          <w:sz w:val="30"/>
        </w:rPr>
        <w:t>Ⅱ. 본론</w:t>
      </w:r>
    </w:p>
    <w:p>
      <w:pPr>
        <w:pStyle w:val="Heading2"/>
        <w:spacing w:before="160" w:after="100"/>
      </w:pPr>
      <w:r>
        <w:rPr>
          <w:rFonts w:ascii="Malgun Gothic" w:hAnsi="Malgun Gothic" w:eastAsia="Malgun Gothic"/>
          <w:b/>
          <w:color w:val="2F5597"/>
          <w:sz w:val="24"/>
        </w:rPr>
        <w:t>1. 조작적 조건형성의 개념과 이론적 배경</w:t>
      </w:r>
    </w:p>
    <w:p>
      <w:pPr>
        <w:spacing w:before="0" w:after="100" w:line="396" w:lineRule="auto"/>
        <w:ind w:firstLine="454"/>
        <w:jc w:val="both"/>
      </w:pPr>
      <w:r>
        <w:rPr>
          <w:rFonts w:ascii="Malgun Gothic" w:hAnsi="Malgun Gothic" w:eastAsia="Malgun Gothic"/>
          <w:color w:val="222222"/>
          <w:sz w:val="21"/>
        </w:rPr>
        <w:t>조작적 조건형성은 유기체가 환경에 어떤 행동을 한 후 경험하는 결과에 의해 그 행동의 발생 확률이 변화하는 학습과정이다. 고전적 조건형성이 주로 자극과 자극의 연합을 통해 자동적·반사적 반응이 형성되는 과정을 설명하는 데 초점을 둔다면, 조작적 조건형성은 자발적으로 산출되는 행동과 그 결과의 관계를 다룬다. Skinner는 이러한 행동을 ‘조작행동(operant behavior)’이라고 하였으며, 행동에 뒤따르는 결과가 해당 행동을 선택하고 유지하는 핵심 요인이라고 보았다.</w:t>
      </w:r>
    </w:p>
    <w:p>
      <w:pPr>
        <w:spacing w:before="0" w:after="100" w:line="396" w:lineRule="auto"/>
        <w:ind w:firstLine="454"/>
        <w:jc w:val="both"/>
      </w:pPr>
      <w:r>
        <w:rPr>
          <w:rFonts w:ascii="Malgun Gothic" w:hAnsi="Malgun Gothic" w:eastAsia="Malgun Gothic"/>
          <w:color w:val="222222"/>
          <w:sz w:val="21"/>
        </w:rPr>
        <w:t>Skinner의 연구는 Thorndike의 효과의 법칙(law of effect)을 발전시킨 것으로 볼 수 있다. Thorndike는 어떤 상황에서 만족스러운 결과를 가져온 반응은 그 상황에서 다시 나타날 가능성이 높아지고, 불만족스러운 결과를 가져온 반응은 다시 나타날 가능성이 낮아진다고 설명하였다. Skinner는 이 생각을 실험적으로 정교화하여 행동을 증가시키는 결과를 강화(reinforcement), 행동을 감소시키는 결과를 처벌(punishment)로 구분하였다. 이때 강화와 처벌은 결과의 ‘좋고 나쁨’이 아니라 행동 빈도의 실제 변화에 의해 정의된다.</w:t>
      </w:r>
    </w:p>
    <w:p>
      <w:pPr>
        <w:pStyle w:val="Heading2"/>
        <w:spacing w:before="160" w:after="100"/>
      </w:pPr>
      <w:r>
        <w:rPr>
          <w:rFonts w:ascii="Malgun Gothic" w:hAnsi="Malgun Gothic" w:eastAsia="Malgun Gothic"/>
          <w:b/>
          <w:color w:val="2F5597"/>
          <w:sz w:val="24"/>
        </w:rPr>
        <w:t>2. 조작적 조건형성의 주요 특징과 핵심 원리</w:t>
      </w:r>
    </w:p>
    <w:p>
      <w:pPr>
        <w:spacing w:before="0" w:after="100" w:line="396" w:lineRule="auto"/>
        <w:ind w:firstLine="454"/>
        <w:jc w:val="both"/>
      </w:pPr>
      <w:r>
        <w:rPr>
          <w:rFonts w:ascii="Malgun Gothic" w:hAnsi="Malgun Gothic" w:eastAsia="Malgun Gothic"/>
          <w:color w:val="222222"/>
          <w:sz w:val="21"/>
        </w:rPr>
        <w:t>조작적 조건형성의 첫 번째 특징은 행동과 결과 사이의 수반성(contingency)을 중시한다는 점이다. 즉 특정 행동이 발생했을 때 그 행동과 밀접하게 연결된 결과가 제시되어야 학습이 효과적으로 일어난다. 또한 결과가 행동 직후에 제시될수록 행동과 결과 사이의 관계를 명확하게 인식할 수 있으므로 즉시성이 중요하다. 교육에서는 학생이 바람직한 행동을 보였을 때 가능한 한 구체적이고 신속하게 피드백을 제공하는 것이 효과적인 이유가 여기에 있다.</w:t>
      </w:r>
    </w:p>
    <w:p>
      <w:pPr>
        <w:spacing w:before="0" w:after="100" w:line="396" w:lineRule="auto"/>
        <w:ind w:firstLine="454"/>
        <w:jc w:val="both"/>
      </w:pPr>
      <w:r>
        <w:rPr>
          <w:rFonts w:ascii="Malgun Gothic" w:hAnsi="Malgun Gothic" w:eastAsia="Malgun Gothic"/>
          <w:color w:val="222222"/>
          <w:sz w:val="21"/>
        </w:rPr>
        <w:t>두 번째 특징은 강화와 처벌을 정적(positive)과 부적(negative)으로 구분한다는 점이다. 여기서 정적은 어떤 자극을 ‘제시하거나 더하는 것’을, 부적은 어떤 자극을 ‘제거하거나 빼는 것’을 뜻한다. 따라서 부적 강화는 처벌이 아니라 불쾌한 자극을 제거함으로써 행동을 증가시키는 절차이다. 이 구분을 명확히 이해하지 못하면 교육 장면에서 개념을 혼동하기 쉽다.</w:t>
      </w:r>
    </w:p>
    <w:p>
      <w:pPr>
        <w:spacing w:before="80"/>
      </w:pPr>
      <w:r>
        <w:rPr>
          <w:rFonts w:ascii="Malgun Gothic" w:hAnsi="Malgun Gothic" w:eastAsia="Malgun Gothic"/>
          <w:b/>
          <w:color w:val="17365D"/>
          <w:sz w:val="20"/>
        </w:rPr>
        <w:t>표 1. 조작적 조건형성의 네 가지 기본 절차</w:t>
      </w:r>
    </w:p>
    <w:tbl>
      <w:tblPr>
        <w:tblStyle w:val="TableGrid"/>
        <w:tblW w:type="auto" w:w="0"/>
        <w:jc w:val="center"/>
        <w:tblLook w:firstColumn="1" w:firstRow="1" w:lastColumn="0" w:lastRow="0" w:noHBand="0" w:noVBand="1" w:val="04A0"/>
      </w:tblPr>
      <w:tblGrid>
        <w:gridCol w:w="2379"/>
        <w:gridCol w:w="2379"/>
        <w:gridCol w:w="2379"/>
        <w:gridCol w:w="2379"/>
      </w:tblGrid>
      <w:tr>
        <w:trPr>
          <w:tblHeader w:val="true"/>
        </w:trPr>
        <w:tc>
          <w:tcPr>
            <w:tcW w:type="dxa" w:w="2379"/>
            <w:shd w:fill="17365D"/>
          </w:tcPr>
          <w:p>
            <w:pPr>
              <w:jc w:val="center"/>
            </w:pPr>
            <w:r>
              <w:rPr>
                <w:rFonts w:ascii="Malgun Gothic" w:hAnsi="Malgun Gothic" w:eastAsia="Malgun Gothic"/>
                <w:b/>
                <w:color w:val="FFFFFF"/>
                <w:sz w:val="18"/>
              </w:rPr>
              <w:t>구분</w:t>
            </w:r>
          </w:p>
        </w:tc>
        <w:tc>
          <w:tcPr>
            <w:tcW w:type="dxa" w:w="2379"/>
            <w:shd w:fill="17365D"/>
          </w:tcPr>
          <w:p>
            <w:pPr>
              <w:jc w:val="center"/>
            </w:pPr>
            <w:r>
              <w:rPr>
                <w:rFonts w:ascii="Malgun Gothic" w:hAnsi="Malgun Gothic" w:eastAsia="Malgun Gothic"/>
                <w:b/>
                <w:color w:val="FFFFFF"/>
                <w:sz w:val="18"/>
              </w:rPr>
              <w:t>결과의 변화</w:t>
            </w:r>
          </w:p>
        </w:tc>
        <w:tc>
          <w:tcPr>
            <w:tcW w:type="dxa" w:w="2379"/>
            <w:shd w:fill="17365D"/>
          </w:tcPr>
          <w:p>
            <w:pPr>
              <w:jc w:val="center"/>
            </w:pPr>
            <w:r>
              <w:rPr>
                <w:rFonts w:ascii="Malgun Gothic" w:hAnsi="Malgun Gothic" w:eastAsia="Malgun Gothic"/>
                <w:b/>
                <w:color w:val="FFFFFF"/>
                <w:sz w:val="18"/>
              </w:rPr>
              <w:t>행동에 미치는 영향</w:t>
            </w:r>
          </w:p>
        </w:tc>
        <w:tc>
          <w:tcPr>
            <w:tcW w:type="dxa" w:w="2379"/>
            <w:shd w:fill="17365D"/>
          </w:tcPr>
          <w:p>
            <w:pPr>
              <w:jc w:val="center"/>
            </w:pPr>
            <w:r>
              <w:rPr>
                <w:rFonts w:ascii="Malgun Gothic" w:hAnsi="Malgun Gothic" w:eastAsia="Malgun Gothic"/>
                <w:b/>
                <w:color w:val="FFFFFF"/>
                <w:sz w:val="18"/>
              </w:rPr>
              <w:t>예시</w:t>
            </w:r>
          </w:p>
        </w:tc>
      </w:tr>
      <w:tr>
        <w:tc>
          <w:tcPr>
            <w:tcW w:type="dxa" w:w="2379"/>
            <w:vAlign w:val="center"/>
          </w:tcPr>
          <w:p>
            <w:pPr>
              <w:spacing w:after="0"/>
              <w:jc w:val="center"/>
            </w:pPr>
            <w:r>
              <w:rPr>
                <w:rFonts w:ascii="Malgun Gothic" w:hAnsi="Malgun Gothic" w:eastAsia="Malgun Gothic"/>
                <w:color w:val="222222"/>
                <w:sz w:val="18"/>
              </w:rPr>
              <w:t>정적 강화</w:t>
            </w:r>
          </w:p>
        </w:tc>
        <w:tc>
          <w:tcPr>
            <w:tcW w:type="dxa" w:w="2379"/>
            <w:vAlign w:val="center"/>
          </w:tcPr>
          <w:p>
            <w:pPr>
              <w:spacing w:after="0"/>
              <w:jc w:val="center"/>
            </w:pPr>
            <w:r>
              <w:rPr>
                <w:rFonts w:ascii="Malgun Gothic" w:hAnsi="Malgun Gothic" w:eastAsia="Malgun Gothic"/>
                <w:color w:val="222222"/>
                <w:sz w:val="18"/>
              </w:rPr>
              <w:t>선호 자극 제시</w:t>
            </w:r>
          </w:p>
        </w:tc>
        <w:tc>
          <w:tcPr>
            <w:tcW w:type="dxa" w:w="2379"/>
            <w:vAlign w:val="center"/>
          </w:tcPr>
          <w:p>
            <w:pPr>
              <w:spacing w:after="0"/>
              <w:jc w:val="center"/>
            </w:pPr>
            <w:r>
              <w:rPr>
                <w:rFonts w:ascii="Malgun Gothic" w:hAnsi="Malgun Gothic" w:eastAsia="Malgun Gothic"/>
                <w:color w:val="222222"/>
                <w:sz w:val="18"/>
              </w:rPr>
              <w:t>행동 증가</w:t>
            </w:r>
          </w:p>
        </w:tc>
        <w:tc>
          <w:tcPr>
            <w:tcW w:type="dxa" w:w="2379"/>
            <w:vAlign w:val="center"/>
          </w:tcPr>
          <w:p>
            <w:pPr>
              <w:spacing w:after="0"/>
              <w:jc w:val="left"/>
            </w:pPr>
            <w:r>
              <w:rPr>
                <w:rFonts w:ascii="Malgun Gothic" w:hAnsi="Malgun Gothic" w:eastAsia="Malgun Gothic"/>
                <w:color w:val="222222"/>
                <w:sz w:val="18"/>
              </w:rPr>
              <w:t>과제 완료 후 칭찬 제공</w:t>
            </w:r>
          </w:p>
        </w:tc>
      </w:tr>
      <w:tr>
        <w:tc>
          <w:tcPr>
            <w:tcW w:type="dxa" w:w="2379"/>
            <w:vAlign w:val="center"/>
            <w:shd w:fill="F7F9FC"/>
          </w:tcPr>
          <w:p>
            <w:pPr>
              <w:spacing w:after="0"/>
              <w:jc w:val="center"/>
            </w:pPr>
            <w:r>
              <w:rPr>
                <w:rFonts w:ascii="Malgun Gothic" w:hAnsi="Malgun Gothic" w:eastAsia="Malgun Gothic"/>
                <w:color w:val="222222"/>
                <w:sz w:val="18"/>
              </w:rPr>
              <w:t>부적 강화</w:t>
            </w:r>
          </w:p>
        </w:tc>
        <w:tc>
          <w:tcPr>
            <w:tcW w:type="dxa" w:w="2379"/>
            <w:vAlign w:val="center"/>
            <w:shd w:fill="F7F9FC"/>
          </w:tcPr>
          <w:p>
            <w:pPr>
              <w:spacing w:after="0"/>
              <w:jc w:val="center"/>
            </w:pPr>
            <w:r>
              <w:rPr>
                <w:rFonts w:ascii="Malgun Gothic" w:hAnsi="Malgun Gothic" w:eastAsia="Malgun Gothic"/>
                <w:color w:val="222222"/>
                <w:sz w:val="18"/>
              </w:rPr>
              <w:t>혐오 자극 제거</w:t>
            </w:r>
          </w:p>
        </w:tc>
        <w:tc>
          <w:tcPr>
            <w:tcW w:type="dxa" w:w="2379"/>
            <w:vAlign w:val="center"/>
            <w:shd w:fill="F7F9FC"/>
          </w:tcPr>
          <w:p>
            <w:pPr>
              <w:spacing w:after="0"/>
              <w:jc w:val="center"/>
            </w:pPr>
            <w:r>
              <w:rPr>
                <w:rFonts w:ascii="Malgun Gothic" w:hAnsi="Malgun Gothic" w:eastAsia="Malgun Gothic"/>
                <w:color w:val="222222"/>
                <w:sz w:val="18"/>
              </w:rPr>
              <w:t>행동 증가</w:t>
            </w:r>
          </w:p>
        </w:tc>
        <w:tc>
          <w:tcPr>
            <w:tcW w:type="dxa" w:w="2379"/>
            <w:vAlign w:val="center"/>
            <w:shd w:fill="F7F9FC"/>
          </w:tcPr>
          <w:p>
            <w:pPr>
              <w:spacing w:after="0"/>
              <w:jc w:val="left"/>
            </w:pPr>
            <w:r>
              <w:rPr>
                <w:rFonts w:ascii="Malgun Gothic" w:hAnsi="Malgun Gothic" w:eastAsia="Malgun Gothic"/>
                <w:color w:val="222222"/>
                <w:sz w:val="18"/>
              </w:rPr>
              <w:t>준비물을 미리 챙기면 반복 확인을 면제</w:t>
            </w:r>
          </w:p>
        </w:tc>
      </w:tr>
      <w:tr>
        <w:tc>
          <w:tcPr>
            <w:tcW w:type="dxa" w:w="2379"/>
            <w:vAlign w:val="center"/>
          </w:tcPr>
          <w:p>
            <w:pPr>
              <w:spacing w:after="0"/>
              <w:jc w:val="center"/>
            </w:pPr>
            <w:r>
              <w:rPr>
                <w:rFonts w:ascii="Malgun Gothic" w:hAnsi="Malgun Gothic" w:eastAsia="Malgun Gothic"/>
                <w:color w:val="222222"/>
                <w:sz w:val="18"/>
              </w:rPr>
              <w:t>정적 처벌</w:t>
            </w:r>
          </w:p>
        </w:tc>
        <w:tc>
          <w:tcPr>
            <w:tcW w:type="dxa" w:w="2379"/>
            <w:vAlign w:val="center"/>
          </w:tcPr>
          <w:p>
            <w:pPr>
              <w:spacing w:after="0"/>
              <w:jc w:val="center"/>
            </w:pPr>
            <w:r>
              <w:rPr>
                <w:rFonts w:ascii="Malgun Gothic" w:hAnsi="Malgun Gothic" w:eastAsia="Malgun Gothic"/>
                <w:color w:val="222222"/>
                <w:sz w:val="18"/>
              </w:rPr>
              <w:t>혐오 자극 제시</w:t>
            </w:r>
          </w:p>
        </w:tc>
        <w:tc>
          <w:tcPr>
            <w:tcW w:type="dxa" w:w="2379"/>
            <w:vAlign w:val="center"/>
          </w:tcPr>
          <w:p>
            <w:pPr>
              <w:spacing w:after="0"/>
              <w:jc w:val="center"/>
            </w:pPr>
            <w:r>
              <w:rPr>
                <w:rFonts w:ascii="Malgun Gothic" w:hAnsi="Malgun Gothic" w:eastAsia="Malgun Gothic"/>
                <w:color w:val="222222"/>
                <w:sz w:val="18"/>
              </w:rPr>
              <w:t>행동 감소</w:t>
            </w:r>
          </w:p>
        </w:tc>
        <w:tc>
          <w:tcPr>
            <w:tcW w:type="dxa" w:w="2379"/>
            <w:vAlign w:val="center"/>
          </w:tcPr>
          <w:p>
            <w:pPr>
              <w:spacing w:after="0"/>
              <w:jc w:val="left"/>
            </w:pPr>
            <w:r>
              <w:rPr>
                <w:rFonts w:ascii="Malgun Gothic" w:hAnsi="Malgun Gothic" w:eastAsia="Malgun Gothic"/>
                <w:color w:val="222222"/>
                <w:sz w:val="18"/>
              </w:rPr>
              <w:t>규칙 위반 후 추가 교정 활동 실시</w:t>
            </w:r>
          </w:p>
        </w:tc>
      </w:tr>
      <w:tr>
        <w:tc>
          <w:tcPr>
            <w:tcW w:type="dxa" w:w="2379"/>
            <w:vAlign w:val="center"/>
            <w:shd w:fill="F7F9FC"/>
          </w:tcPr>
          <w:p>
            <w:pPr>
              <w:spacing w:after="0"/>
              <w:jc w:val="center"/>
            </w:pPr>
            <w:r>
              <w:rPr>
                <w:rFonts w:ascii="Malgun Gothic" w:hAnsi="Malgun Gothic" w:eastAsia="Malgun Gothic"/>
                <w:color w:val="222222"/>
                <w:sz w:val="18"/>
              </w:rPr>
              <w:t>부적 처벌</w:t>
            </w:r>
          </w:p>
        </w:tc>
        <w:tc>
          <w:tcPr>
            <w:tcW w:type="dxa" w:w="2379"/>
            <w:vAlign w:val="center"/>
            <w:shd w:fill="F7F9FC"/>
          </w:tcPr>
          <w:p>
            <w:pPr>
              <w:spacing w:after="0"/>
              <w:jc w:val="center"/>
            </w:pPr>
            <w:r>
              <w:rPr>
                <w:rFonts w:ascii="Malgun Gothic" w:hAnsi="Malgun Gothic" w:eastAsia="Malgun Gothic"/>
                <w:color w:val="222222"/>
                <w:sz w:val="18"/>
              </w:rPr>
              <w:t>선호 자극 제거</w:t>
            </w:r>
          </w:p>
        </w:tc>
        <w:tc>
          <w:tcPr>
            <w:tcW w:type="dxa" w:w="2379"/>
            <w:vAlign w:val="center"/>
            <w:shd w:fill="F7F9FC"/>
          </w:tcPr>
          <w:p>
            <w:pPr>
              <w:spacing w:after="0"/>
              <w:jc w:val="center"/>
            </w:pPr>
            <w:r>
              <w:rPr>
                <w:rFonts w:ascii="Malgun Gothic" w:hAnsi="Malgun Gothic" w:eastAsia="Malgun Gothic"/>
                <w:color w:val="222222"/>
                <w:sz w:val="18"/>
              </w:rPr>
              <w:t>행동 감소</w:t>
            </w:r>
          </w:p>
        </w:tc>
        <w:tc>
          <w:tcPr>
            <w:tcW w:type="dxa" w:w="2379"/>
            <w:vAlign w:val="center"/>
            <w:shd w:fill="F7F9FC"/>
          </w:tcPr>
          <w:p>
            <w:pPr>
              <w:spacing w:after="0"/>
              <w:jc w:val="left"/>
            </w:pPr>
            <w:r>
              <w:rPr>
                <w:rFonts w:ascii="Malgun Gothic" w:hAnsi="Malgun Gothic" w:eastAsia="Malgun Gothic"/>
                <w:color w:val="222222"/>
                <w:sz w:val="18"/>
              </w:rPr>
              <w:t>방해 행동 후 자유활동 시간 일부 제한</w:t>
            </w:r>
          </w:p>
        </w:tc>
      </w:tr>
    </w:tbl>
    <w:p>
      <w:pPr>
        <w:spacing w:after="20"/>
      </w:pPr>
    </w:p>
    <w:p>
      <w:pPr>
        <w:spacing w:before="0" w:after="100" w:line="396" w:lineRule="auto"/>
        <w:ind w:firstLine="454"/>
        <w:jc w:val="both"/>
      </w:pPr>
      <w:r>
        <w:rPr>
          <w:rFonts w:ascii="Malgun Gothic" w:hAnsi="Malgun Gothic" w:eastAsia="Malgun Gothic"/>
          <w:color w:val="222222"/>
          <w:sz w:val="21"/>
        </w:rPr>
        <w:t>강화는 정적 강화와 부적 강화로 구분된다. 정적 강화는 행동 후 학생이 선호하는 자극을 제시하여 행동을 증가시키는 것으로, 칭찬·점수·토큰·선택권 제공 등이 예가 될 수 있다. 부적 강화는 행동 후 불쾌하거나 부담스러운 자극을 제거하여 행동을 증가시키는 것이다. 예를 들어 수업 시작 전 필요한 자료를 모두 준비한 학생에게 반복적인 준비물 확인을 면제해 주고 그 결과 준비 행동이 증가한다면 이는 부적 강화에 해당한다. 반면 처벌은 행동을 감소시키는 절차로, 정적 처벌은 불쾌한 결과를 추가하고 부적 처벌은 선호하는 자극이나 활동 기회를 제거하는 방식이다.</w:t>
      </w:r>
    </w:p>
    <w:p>
      <w:pPr>
        <w:spacing w:before="0" w:after="100" w:line="396" w:lineRule="auto"/>
        <w:ind w:firstLine="454"/>
        <w:jc w:val="both"/>
      </w:pPr>
      <w:r>
        <w:rPr>
          <w:rFonts w:ascii="Malgun Gothic" w:hAnsi="Malgun Gothic" w:eastAsia="Malgun Gothic"/>
          <w:color w:val="222222"/>
          <w:sz w:val="21"/>
        </w:rPr>
        <w:t>세 번째 특징은 강화계획(schedule of reinforcement)에 따라 행동의 학습 속도와 소거에 대한 저항이 달라진다는 점이다. 연속강화는 목표 행동이 나타날 때마다 강화하는 방식으로 새로운 행동을 처음 가르칠 때 효과적이다. 반면 간헐강화는 일정한 비율 또는 시간 간격에 따라 일부 행동에만 강화를 제공한다. 고정비율, 변동비율, 고정간격, 변동간격 계획은 각각 서로 다른 행동 패턴을 만든다. 특히 변동비율 강화는 언제 강화될지 예측하기 어려워 행동을 강하게 유지시키는 경향이 있으며, 반대로 고정간격 강화에서는 강화 시점이 가까워질수록 반응이 증가하는 특징이 나타날 수 있다.</w:t>
      </w:r>
    </w:p>
    <w:p>
      <w:pPr>
        <w:spacing w:before="0" w:after="100" w:line="396" w:lineRule="auto"/>
        <w:ind w:firstLine="454"/>
        <w:jc w:val="both"/>
      </w:pPr>
      <w:r>
        <w:rPr>
          <w:rFonts w:ascii="Malgun Gothic" w:hAnsi="Malgun Gothic" w:eastAsia="Malgun Gothic"/>
          <w:color w:val="222222"/>
          <w:sz w:val="21"/>
        </w:rPr>
        <w:t>네 번째 특징은 행동형성(shaping)과 소거(extinction)이다. 행동형성은 최종 목표 행동을 한 번에 요구하기보다 목표에 가까운 작은 행동을 단계적으로 강화하는 방법이다. 예를 들어 발표를 극도로 어려워하는 학생에게 처음부터 5분 발표를 요구하는 대신, 질문에 한 문장으로 답하기, 자리에서 30초 설명하기, 소집단 앞에서 1분 발표하기와 같이 점진적으로 접근할 수 있다. 소거는 기존에 행동을 유지시키던 강화가 더 이상 제공되지 않을 때 행동이 점차 감소하는 과정이다. 다만 소거 초기에 행동이 일시적으로 더 강하게 나타나는 ‘소거 폭발’이 발생할 수 있으므로 교육자는 일관된 대응과 대체 행동의 강화를 함께 사용해야 한다.</w:t>
      </w:r>
    </w:p>
    <w:p>
      <w:r>
        <w:br w:type="page"/>
      </w:r>
    </w:p>
    <w:p>
      <w:pPr>
        <w:pStyle w:val="Heading2"/>
        <w:spacing w:before="160" w:after="100"/>
      </w:pPr>
      <w:r>
        <w:rPr>
          <w:rFonts w:ascii="Malgun Gothic" w:hAnsi="Malgun Gothic" w:eastAsia="Malgun Gothic"/>
          <w:b/>
          <w:color w:val="2F5597"/>
          <w:sz w:val="24"/>
        </w:rPr>
        <w:t>3. 조작적 조건형성의 교육적 적용점</w:t>
      </w:r>
    </w:p>
    <w:p>
      <w:pPr>
        <w:spacing w:before="0" w:after="100" w:line="396" w:lineRule="auto"/>
        <w:ind w:firstLine="454"/>
        <w:jc w:val="both"/>
      </w:pPr>
      <w:r>
        <w:rPr>
          <w:rFonts w:ascii="Malgun Gothic" w:hAnsi="Malgun Gothic" w:eastAsia="Malgun Gothic"/>
          <w:color w:val="222222"/>
          <w:sz w:val="21"/>
        </w:rPr>
        <w:t>조작적 조건형성은 교육 장면에서 학생의 바람직한 행동을 체계적으로 형성하고 유지하는 데 유용하다. 첫째, 교사는 학습목표를 추상적으로 제시하기보다 관찰 가능한 행동으로 구체화해야 한다. 예를 들어 “성실한 학생이 된다”는 목표보다 “매 수업 시작 3분 이내에 교재를 펼치고 활동지를 준비한다”, “과제를 정해진 기한 안에 제출한다”, “토론 중 상대방의 발언을 끊지 않고 차례를 지킨다”와 같이 측정 가능한 행동목표를 설정하는 것이 적절하다. 행동이 명확해야 어떤 결과가 어떤 행동을 강화했는지 확인할 수 있기 때문이다.</w:t>
      </w:r>
    </w:p>
    <w:p>
      <w:pPr>
        <w:spacing w:before="0" w:after="100" w:line="396" w:lineRule="auto"/>
        <w:ind w:firstLine="454"/>
        <w:jc w:val="both"/>
      </w:pPr>
      <w:r>
        <w:rPr>
          <w:rFonts w:ascii="Malgun Gothic" w:hAnsi="Malgun Gothic" w:eastAsia="Malgun Gothic"/>
          <w:color w:val="222222"/>
          <w:sz w:val="21"/>
        </w:rPr>
        <w:t>둘째, 바람직한 행동에 대한 구체적이고 즉각적인 강화를 활용해야 한다. 단순히 “잘했어”라고 말하는 것보다 “오늘 토론에서 근거를 제시하고 친구의 의견을 끝까지 들은 점이 좋았다”와 같이 어떤 행동이 바람직했는지를 분명하게 알려 주는 것이 효과적이다. 이러한 피드백은 학생이 강화의 원인이 된 행동을 정확하게 파악하도록 돕는다. 특히 어린 학습자나 새로운 습관을 형성하는 초기 단계에서는 즉각적 강화가 중요하며, 행동이 안정된 이후에는 점차 간헐강화로 전환하여 외적 보상이 없더라도 행동이 유지되도록 하는 것이 바람직하다.</w:t>
      </w:r>
    </w:p>
    <w:p>
      <w:pPr>
        <w:spacing w:before="0" w:after="100" w:line="396" w:lineRule="auto"/>
        <w:ind w:firstLine="454"/>
        <w:jc w:val="both"/>
      </w:pPr>
      <w:r>
        <w:rPr>
          <w:rFonts w:ascii="Malgun Gothic" w:hAnsi="Malgun Gothic" w:eastAsia="Malgun Gothic"/>
          <w:color w:val="222222"/>
          <w:sz w:val="21"/>
        </w:rPr>
        <w:t>셋째, 토큰 강화체계(token economy)를 활용할 수 있다. 학생이 목표 행동을 수행할 때 점수나 스티커와 같은 토큰을 제공하고, 일정량을 모으면 선호 활동이나 선택권으로 교환하게 하는 방식이다. 예를 들어 초등학교 학급에서 과제 준비, 발표 규칙 준수, 협력적 행동에 토큰을 제공하고 일정 점수 이상이 되면 독서 시간에 원하는 책을 먼저 선택하거나 학급 활동을 선택할 기회를 줄 수 있다. 다만 토큰 자체가 교육의 목적이 되어서는 안 되며, 학생이 행동의 의미와 성취감을 경험하도록 언어적 피드백과 자기평가를 함께 제공해야 한다.</w:t>
      </w:r>
    </w:p>
    <w:p>
      <w:pPr>
        <w:spacing w:before="0" w:after="100" w:line="396" w:lineRule="auto"/>
        <w:ind w:firstLine="454"/>
        <w:jc w:val="both"/>
      </w:pPr>
      <w:r>
        <w:rPr>
          <w:rFonts w:ascii="Malgun Gothic" w:hAnsi="Malgun Gothic" w:eastAsia="Malgun Gothic"/>
          <w:color w:val="222222"/>
          <w:sz w:val="21"/>
        </w:rPr>
        <w:t>넷째, 문제행동을 줄일 때는 처벌보다 대체 행동의 강화를 우선하는 것이 교육적으로 적절하다. 예를 들어 수업 중 큰 소리로 답을 외치는 행동을 단순히 꾸중하는 것보다 손을 들고 순서를 기다리는 행동을 즉시 강화하는 차별강화(differential reinforcement)가 더 바람직하다. 처벌만 사용하면 어떤 행동을 하지 말아야 하는지는 알 수 있지만 대신 무엇을 해야 하는지는 배우기 어렵다. 또한 강한 처벌은 불안, 회피, 교사에 대한 부정적 정서, 공격적 모델링 등의 부작용을 초래할 수 있다.</w:t>
      </w:r>
    </w:p>
    <w:p>
      <w:pPr>
        <w:spacing w:before="0" w:after="100" w:line="396" w:lineRule="auto"/>
        <w:ind w:firstLine="454"/>
        <w:jc w:val="both"/>
      </w:pPr>
      <w:r>
        <w:rPr>
          <w:rFonts w:ascii="Malgun Gothic" w:hAnsi="Malgun Gothic" w:eastAsia="Malgun Gothic"/>
          <w:color w:val="222222"/>
          <w:sz w:val="21"/>
        </w:rPr>
        <w:t>다섯째, 개별차를 고려해야 한다. 동일한 보상이라도 모든 학생에게 같은 강화 효과를 갖는 것은 아니다. 어떤 학생은 공개적인 칭찬을 좋아하지만, 다른 학생은 사람들 앞에서 칭찬받는 것을 부담스럽게 느낄 수 있다. 따라서 교사는 학생의 선호, 발달 수준, 문화적 배경, 현재의 동기 상태를 고려하여 강화물을 선택해야 한다. 또한 학업행동을 장기적으로 유지하려면 외적 강화에서 점차 자기강화와 내재적 동기로 이동하도록 지원해야 한다.</w:t>
      </w:r>
    </w:p>
    <w:p>
      <w:pPr>
        <w:spacing w:before="140"/>
      </w:pPr>
      <w:r>
        <w:rPr>
          <w:rFonts w:ascii="Malgun Gothic" w:hAnsi="Malgun Gothic" w:eastAsia="Malgun Gothic"/>
          <w:b/>
          <w:color w:val="2F5597"/>
          <w:sz w:val="23"/>
        </w:rPr>
        <w:t>교육적 적용 시 유의점</w:t>
      </w:r>
    </w:p>
    <w:p>
      <w:pPr>
        <w:pStyle w:val="ListBullet"/>
        <w:spacing w:after="60" w:line="348" w:lineRule="auto"/>
        <w:ind w:left="397" w:hanging="170"/>
      </w:pPr>
      <w:r>
        <w:rPr>
          <w:rFonts w:ascii="Malgun Gothic" w:hAnsi="Malgun Gothic" w:eastAsia="Malgun Gothic"/>
          <w:color w:val="222222"/>
          <w:sz w:val="20"/>
        </w:rPr>
        <w:t>강화는 목표 행동 직후에 제공하고, 무엇을 잘했는지 구체적으로 알려 준다.</w:t>
      </w:r>
    </w:p>
    <w:p>
      <w:pPr>
        <w:pStyle w:val="ListBullet"/>
        <w:spacing w:after="60" w:line="348" w:lineRule="auto"/>
        <w:ind w:left="397" w:hanging="170"/>
      </w:pPr>
      <w:r>
        <w:rPr>
          <w:rFonts w:ascii="Malgun Gothic" w:hAnsi="Malgun Gothic" w:eastAsia="Malgun Gothic"/>
          <w:color w:val="222222"/>
          <w:sz w:val="20"/>
        </w:rPr>
        <w:t>처벌은 최소화하고 바람직한 대체 행동의 강화와 함께 사용한다.</w:t>
      </w:r>
    </w:p>
    <w:p>
      <w:pPr>
        <w:pStyle w:val="ListBullet"/>
        <w:spacing w:after="60" w:line="348" w:lineRule="auto"/>
        <w:ind w:left="397" w:hanging="170"/>
      </w:pPr>
      <w:r>
        <w:rPr>
          <w:rFonts w:ascii="Malgun Gothic" w:hAnsi="Malgun Gothic" w:eastAsia="Malgun Gothic"/>
          <w:color w:val="222222"/>
          <w:sz w:val="20"/>
        </w:rPr>
        <w:t>외적 보상만으로 학습을 통제하지 않고, 점차 자기평가·자기강화로 전환한다.</w:t>
      </w:r>
    </w:p>
    <w:p>
      <w:pPr>
        <w:pStyle w:val="ListBullet"/>
        <w:spacing w:after="60" w:line="348" w:lineRule="auto"/>
        <w:ind w:left="397" w:hanging="170"/>
      </w:pPr>
      <w:r>
        <w:rPr>
          <w:rFonts w:ascii="Malgun Gothic" w:hAnsi="Malgun Gothic" w:eastAsia="Malgun Gothic"/>
          <w:color w:val="222222"/>
          <w:sz w:val="20"/>
        </w:rPr>
        <w:t>강화물이 학생에게 실제로 강화 기능을 하는지 행동 변화를 통해 확인한다.</w:t>
      </w:r>
    </w:p>
    <w:p>
      <w:pPr>
        <w:pStyle w:val="ListBullet"/>
        <w:spacing w:after="60" w:line="348" w:lineRule="auto"/>
        <w:ind w:left="397" w:hanging="170"/>
      </w:pPr>
      <w:r>
        <w:rPr>
          <w:rFonts w:ascii="Malgun Gothic" w:hAnsi="Malgun Gothic" w:eastAsia="Malgun Gothic"/>
          <w:color w:val="222222"/>
          <w:sz w:val="20"/>
        </w:rPr>
        <w:t>학급 전체의 공정성과 학생의 존엄성을 해치지 않는 방식으로 적용한다.</w:t>
      </w:r>
    </w:p>
    <w:p>
      <w:pPr>
        <w:pStyle w:val="Heading2"/>
        <w:spacing w:before="160" w:after="100"/>
      </w:pPr>
      <w:r>
        <w:rPr>
          <w:rFonts w:ascii="Malgun Gothic" w:hAnsi="Malgun Gothic" w:eastAsia="Malgun Gothic"/>
          <w:b/>
          <w:color w:val="2F5597"/>
          <w:sz w:val="24"/>
        </w:rPr>
        <w:t>4. 생활 속 조작적 조건화 사례 분석</w:t>
      </w:r>
    </w:p>
    <w:p>
      <w:pPr>
        <w:spacing w:before="0" w:after="100" w:line="396" w:lineRule="auto"/>
        <w:ind w:firstLine="454"/>
        <w:jc w:val="both"/>
      </w:pPr>
      <w:r>
        <w:rPr>
          <w:rFonts w:ascii="Malgun Gothic" w:hAnsi="Malgun Gothic" w:eastAsia="Malgun Gothic"/>
          <w:color w:val="222222"/>
          <w:sz w:val="21"/>
        </w:rPr>
        <w:t>생활 속에서 경험하는 조작적 조건화의 예로, 본인은 최근 “해야 할 일을 미루지 않고 정해진 시간에 시작하는 습관”을 만들기 위해 작은 보상 체계를 사용한 경험을 떠올릴 수 있다. 과거에는 퇴근 또는 일과 종료 후 해야 할 공부나 개인 업무가 있어도 스마트폰을 먼저 확인하는 경우가 많았다. 잠깐만 확인하려던 행동이 영상 시청이나 SNS 이용으로 이어지면서 실제 과제 시작 시간이 늦어졌고, 늦어진 일정 때문에 피로와 부담이 커지는 일이 반복되었다. 이러한 패턴을 줄이기 위해 일정한 시간에 40분 동안 집중해서 해야 할 일을 끝내면 이후 20분 동안 원하는 영상이나 콘텐츠를 자유롭게 볼 수 있도록 스스로 규칙을 정하였다.</w:t>
      </w:r>
    </w:p>
    <w:p>
      <w:pPr>
        <w:spacing w:before="0" w:after="100" w:line="396" w:lineRule="auto"/>
        <w:ind w:firstLine="454"/>
        <w:jc w:val="both"/>
      </w:pPr>
      <w:r>
        <w:rPr>
          <w:rFonts w:ascii="Malgun Gothic" w:hAnsi="Malgun Gothic" w:eastAsia="Malgun Gothic"/>
          <w:color w:val="222222"/>
          <w:sz w:val="21"/>
        </w:rPr>
        <w:t>이 사례에서 목표 행동은 “정해진 시간에 책상에 앉아 40분 동안 집중하여 과제를 수행하는 행동”이다. 행동 직후 제공되는 결과는 “20분간 선호하는 영상이나 콘텐츠를 자유롭게 이용할 수 있는 기회”이다. 본인에게 영상 시청은 선호도가 높은 활동이므로 이 결과는 정적 강화물로 기능하였다. 실제로 규칙을 적용하기 전에는 귀가 후 스마트폰을 먼저 확인하면서 과제 시작을 1시간 이상 미루는 날이 많았지만, 규칙 적용 후에는 먼저 40분 집중을 완료해야 선호 활동을 할 수 있다는 관계가 형성되면서 과제 시작 시간이 점차 앞당겨졌다. 즉 선호 자극이 행동 뒤에 추가되었고 그 결과 목표 행동의 빈도가 증가했으므로 정적 강화의 사례로 분석할 수 있다.</w:t>
      </w:r>
    </w:p>
    <w:p>
      <w:pPr>
        <w:spacing w:before="100"/>
      </w:pPr>
      <w:r>
        <w:rPr>
          <w:rFonts w:ascii="Malgun Gothic" w:hAnsi="Malgun Gothic" w:eastAsia="Malgun Gothic"/>
          <w:b/>
          <w:color w:val="17365D"/>
          <w:sz w:val="20"/>
        </w:rPr>
        <w:t>표 2. 생활 사례의 ABC 분석</w:t>
      </w:r>
    </w:p>
    <w:tbl>
      <w:tblPr>
        <w:tblStyle w:val="TableGrid"/>
        <w:tblW w:type="auto" w:w="0"/>
        <w:jc w:val="center"/>
        <w:tblLook w:firstColumn="1" w:firstRow="1" w:lastColumn="0" w:lastRow="0" w:noHBand="0" w:noVBand="1" w:val="04A0"/>
      </w:tblPr>
      <w:tblGrid>
        <w:gridCol w:w="4759"/>
        <w:gridCol w:w="4759"/>
      </w:tblGrid>
      <w:tr>
        <w:trPr>
          <w:tblHeader w:val="true"/>
        </w:trPr>
        <w:tc>
          <w:tcPr>
            <w:tcW w:type="dxa" w:w="4759"/>
            <w:vAlign w:val="center"/>
            <w:shd w:fill="17365D"/>
          </w:tcPr>
          <w:p>
            <w:pPr>
              <w:spacing w:after="0"/>
              <w:jc w:val="center"/>
            </w:pPr>
            <w:r>
              <w:rPr>
                <w:rFonts w:ascii="Malgun Gothic" w:hAnsi="Malgun Gothic" w:eastAsia="Malgun Gothic"/>
                <w:b/>
                <w:color w:val="FFFFFF"/>
                <w:sz w:val="18"/>
              </w:rPr>
              <w:t>구성 요소</w:t>
            </w:r>
          </w:p>
        </w:tc>
        <w:tc>
          <w:tcPr>
            <w:tcW w:type="dxa" w:w="4759"/>
            <w:vAlign w:val="center"/>
            <w:shd w:fill="17365D"/>
          </w:tcPr>
          <w:p>
            <w:pPr>
              <w:spacing w:after="0"/>
              <w:jc w:val="left"/>
            </w:pPr>
            <w:r>
              <w:rPr>
                <w:rFonts w:ascii="Malgun Gothic" w:hAnsi="Malgun Gothic" w:eastAsia="Malgun Gothic"/>
                <w:b/>
                <w:color w:val="FFFFFF"/>
                <w:sz w:val="18"/>
              </w:rPr>
              <w:t>내용</w:t>
            </w:r>
          </w:p>
        </w:tc>
      </w:tr>
      <w:tr>
        <w:tc>
          <w:tcPr>
            <w:tcW w:type="dxa" w:w="4759"/>
            <w:vAlign w:val="center"/>
            <w:shd w:fill="EAF0F8"/>
          </w:tcPr>
          <w:p>
            <w:pPr>
              <w:spacing w:after="0"/>
              <w:jc w:val="center"/>
            </w:pPr>
            <w:r>
              <w:rPr>
                <w:rFonts w:ascii="Malgun Gothic" w:hAnsi="Malgun Gothic" w:eastAsia="Malgun Gothic"/>
                <w:b/>
                <w:color w:val="222222"/>
                <w:sz w:val="18"/>
              </w:rPr>
              <w:t>선행사건(A)</w:t>
            </w:r>
          </w:p>
        </w:tc>
        <w:tc>
          <w:tcPr>
            <w:tcW w:type="dxa" w:w="4759"/>
            <w:vAlign w:val="center"/>
          </w:tcPr>
          <w:p>
            <w:pPr>
              <w:spacing w:after="0"/>
              <w:jc w:val="left"/>
            </w:pPr>
            <w:r>
              <w:rPr>
                <w:rFonts w:ascii="Malgun Gothic" w:hAnsi="Malgun Gothic" w:eastAsia="Malgun Gothic"/>
                <w:b w:val="0"/>
                <w:color w:val="222222"/>
                <w:sz w:val="18"/>
              </w:rPr>
              <w:t>저녁 시간, 해야 할 공부나 업무가 남아 있고 스마트폰 사용 유혹이 있는 상황</w:t>
            </w:r>
          </w:p>
        </w:tc>
      </w:tr>
      <w:tr>
        <w:tc>
          <w:tcPr>
            <w:tcW w:type="dxa" w:w="4759"/>
            <w:vAlign w:val="center"/>
            <w:shd w:fill="EAF0F8"/>
          </w:tcPr>
          <w:p>
            <w:pPr>
              <w:spacing w:after="0"/>
              <w:jc w:val="center"/>
            </w:pPr>
            <w:r>
              <w:rPr>
                <w:rFonts w:ascii="Malgun Gothic" w:hAnsi="Malgun Gothic" w:eastAsia="Malgun Gothic"/>
                <w:b/>
                <w:color w:val="222222"/>
                <w:sz w:val="18"/>
              </w:rPr>
              <w:t>행동(B)</w:t>
            </w:r>
          </w:p>
        </w:tc>
        <w:tc>
          <w:tcPr>
            <w:tcW w:type="dxa" w:w="4759"/>
            <w:vAlign w:val="center"/>
          </w:tcPr>
          <w:p>
            <w:pPr>
              <w:spacing w:after="0"/>
              <w:jc w:val="left"/>
            </w:pPr>
            <w:r>
              <w:rPr>
                <w:rFonts w:ascii="Malgun Gothic" w:hAnsi="Malgun Gothic" w:eastAsia="Malgun Gothic"/>
                <w:b w:val="0"/>
                <w:color w:val="222222"/>
                <w:sz w:val="18"/>
              </w:rPr>
              <w:t>정해진 시간에 책상에 앉아 40분 동안 집중해서 과제를 수행함</w:t>
            </w:r>
          </w:p>
        </w:tc>
      </w:tr>
      <w:tr>
        <w:tc>
          <w:tcPr>
            <w:tcW w:type="dxa" w:w="4759"/>
            <w:vAlign w:val="center"/>
            <w:shd w:fill="EAF0F8"/>
          </w:tcPr>
          <w:p>
            <w:pPr>
              <w:spacing w:after="0"/>
              <w:jc w:val="center"/>
            </w:pPr>
            <w:r>
              <w:rPr>
                <w:rFonts w:ascii="Malgun Gothic" w:hAnsi="Malgun Gothic" w:eastAsia="Malgun Gothic"/>
                <w:b/>
                <w:color w:val="222222"/>
                <w:sz w:val="18"/>
              </w:rPr>
              <w:t>결과(C)</w:t>
            </w:r>
          </w:p>
        </w:tc>
        <w:tc>
          <w:tcPr>
            <w:tcW w:type="dxa" w:w="4759"/>
            <w:vAlign w:val="center"/>
          </w:tcPr>
          <w:p>
            <w:pPr>
              <w:spacing w:after="0"/>
              <w:jc w:val="left"/>
            </w:pPr>
            <w:r>
              <w:rPr>
                <w:rFonts w:ascii="Malgun Gothic" w:hAnsi="Malgun Gothic" w:eastAsia="Malgun Gothic"/>
                <w:b w:val="0"/>
                <w:color w:val="222222"/>
                <w:sz w:val="18"/>
              </w:rPr>
              <w:t>과제 수행 직후 20분 동안 원하는 영상·콘텐츠를 자유롭게 이용함</w:t>
            </w:r>
          </w:p>
        </w:tc>
      </w:tr>
    </w:tbl>
    <w:p>
      <w:pPr>
        <w:spacing w:before="0" w:after="100" w:line="396" w:lineRule="auto"/>
        <w:ind w:firstLine="454"/>
        <w:jc w:val="both"/>
      </w:pPr>
      <w:r>
        <w:rPr>
          <w:rFonts w:ascii="Malgun Gothic" w:hAnsi="Malgun Gothic" w:eastAsia="Malgun Gothic"/>
          <w:color w:val="222222"/>
          <w:sz w:val="21"/>
        </w:rPr>
        <w:t>이 경험에서 주목할 점은 단순히 “보상을 주었기 때문에 행동이 좋아졌다”는 설명을 넘어 강화의 수반성과 즉시성이 작용했다는 사실이다. 보상은 40분 집중이라는 목표 행동을 완료했을 때만 제공되었고, 가능한 한 행동 직후에 이용할 수 있도록 하였다. 만약 목표 행동과 관계없이 영상을 보거나, 과제를 완료한 뒤 몇 시간 후에 보상을 제공했다면 행동과 결과의 관계가 약해져 강화 효과가 감소했을 가능성이 높다. 또한 목표 행동을 처음부터 지나치게 길게 설정하지 않고 40분이라는 비교적 수행 가능한 단위로 정한 것은 행동형성의 관점에서도 의미가 있다.</w:t>
      </w:r>
    </w:p>
    <w:p>
      <w:pPr>
        <w:spacing w:before="0" w:after="100" w:line="396" w:lineRule="auto"/>
        <w:ind w:firstLine="454"/>
        <w:jc w:val="both"/>
      </w:pPr>
      <w:r>
        <w:rPr>
          <w:rFonts w:ascii="Malgun Gothic" w:hAnsi="Malgun Gothic" w:eastAsia="Malgun Gothic"/>
          <w:color w:val="222222"/>
          <w:sz w:val="21"/>
        </w:rPr>
        <w:t>처음에는 목표 행동을 할 때마다 선호 활동을 제공하는 연속강화 방식에 가까웠다. 그러나 약 2주가 지나자 정해진 시간에 책상에 앉는 행동 자체가 비교적 안정되었고, 이후에는 매번 영상 시청을 보상으로 사용하지 않고 하루의 핵심 업무를 모두 마친 경우에만 더 긴 여가시간을 갖는 방식으로 강화 빈도를 줄였다. 이는 연속강화에서 간헐강화로 전환한 사례로 볼 수 있다. 보상의 빈도를 줄였음에도 이미 형성된 행동이 어느 정도 유지되었으며, 과제를 일찍 끝내면 저녁 시간이 편안해진다는 자연적 결과도 새로운 강화물로 기능하기 시작하였다.</w:t>
      </w:r>
    </w:p>
    <w:p>
      <w:pPr>
        <w:spacing w:before="0" w:after="100" w:line="396" w:lineRule="auto"/>
        <w:ind w:firstLine="454"/>
        <w:jc w:val="both"/>
      </w:pPr>
      <w:r>
        <w:rPr>
          <w:rFonts w:ascii="Malgun Gothic" w:hAnsi="Malgun Gothic" w:eastAsia="Malgun Gothic"/>
          <w:color w:val="222222"/>
          <w:sz w:val="21"/>
        </w:rPr>
        <w:t>한편 이 사례에는 부적 강화의 요소도 일부 존재할 수 있다. 일을 미루면 밤늦게까지 해야 할 일이 남아 심리적 압박과 불편함이 커지는데, 정해진 시간에 과제를 시작하고 마치면 이러한 압박이 줄어든다. 만약 “과제를 일찍 시작하는 행동”이 ‘늦은 시간의 압박감’이라는 불쾌한 상태를 제거하는 기능을 하여 점차 증가했다면 부적 강화로 해석할 수 있다. 다만 본 사례에서 의도적으로 설계한 핵심 절차는 선호 활동을 추가한 정적 강화이므로, 주된 분석은 정적 강화에 두는 것이 타당하다.</w:t>
      </w:r>
    </w:p>
    <w:p>
      <w:pPr>
        <w:spacing w:before="0" w:after="100" w:line="396" w:lineRule="auto"/>
        <w:ind w:firstLine="454"/>
        <w:jc w:val="both"/>
      </w:pPr>
      <w:r>
        <w:rPr>
          <w:rFonts w:ascii="Malgun Gothic" w:hAnsi="Malgun Gothic" w:eastAsia="Malgun Gothic"/>
          <w:color w:val="222222"/>
          <w:sz w:val="21"/>
        </w:rPr>
        <w:t>이 경험을 통해 강화물이 반드시 물질적 보상일 필요는 없다는 점도 확인할 수 있다. 휴식, 선택권, 좋아하는 콘텐츠 이용, 성취감과 같은 일상적 결과도 개인에게 충분한 강화 기능을 할 수 있다. 또한 처음에는 외적 강화에 의존했지만 시간이 지나면서 “미리 해두면 마음이 편하다”, “계획한 일을 끝냈다는 성취감이 좋다”와 같은 자연적·내재적 결과가 행동을 유지하는 데 중요해졌다. 교육에서도 이와 마찬가지로 외적 강화는 행동을 시작하게 하는 도구로 활용하되 궁극적으로는 학습의 가치, 성취감, 자기효능감과 같은 보다 지속적인 강화원으로 전환할 필요가 있다.</w:t>
      </w:r>
    </w:p>
    <w:p>
      <w:pPr>
        <w:pStyle w:val="Heading1"/>
        <w:spacing w:before="160" w:after="160"/>
      </w:pPr>
      <w:r>
        <w:rPr>
          <w:rFonts w:ascii="Malgun Gothic" w:hAnsi="Malgun Gothic" w:eastAsia="Malgun Gothic"/>
          <w:b/>
          <w:color w:val="17365D"/>
          <w:sz w:val="30"/>
        </w:rPr>
        <w:t>Ⅲ. 결론</w:t>
      </w:r>
    </w:p>
    <w:p>
      <w:pPr>
        <w:spacing w:before="0" w:after="100" w:line="396" w:lineRule="auto"/>
        <w:ind w:firstLine="454"/>
        <w:jc w:val="both"/>
      </w:pPr>
      <w:r>
        <w:rPr>
          <w:rFonts w:ascii="Malgun Gothic" w:hAnsi="Malgun Gothic" w:eastAsia="Malgun Gothic"/>
          <w:color w:val="222222"/>
          <w:sz w:val="21"/>
        </w:rPr>
        <w:t>조작적 조건형성은 행동 뒤에 따르는 결과가 미래의 행동 발생 가능성을 변화시킨다는 원리를 통해 학습을 설명한다. Skinner는 행동을 증가시키는 강화와 행동을 감소시키는 처벌을 체계적으로 구분하였으며, 자극의 제시와 제거에 따라 정적·부적 절차를 구분하였다. 특히 부적 강화는 불쾌한 자극을 제거함으로써 행동을 증가시키는 과정이므로 처벌과 구별해야 한다. 이와 함께 강화의 즉시성, 행동과 결과의 수반성, 강화계획, 행동형성, 소거 등의 원리는 실제 행동 변화 프로그램을 설계하는 핵심 기준이 된다.</w:t>
      </w:r>
    </w:p>
    <w:p>
      <w:pPr>
        <w:spacing w:before="0" w:after="100" w:line="396" w:lineRule="auto"/>
        <w:ind w:firstLine="454"/>
        <w:jc w:val="both"/>
      </w:pPr>
      <w:r>
        <w:rPr>
          <w:rFonts w:ascii="Malgun Gothic" w:hAnsi="Malgun Gothic" w:eastAsia="Malgun Gothic"/>
          <w:color w:val="222222"/>
          <w:sz w:val="21"/>
        </w:rPr>
        <w:t>교육적 측면에서 조작적 조건형성은 수업 참여 촉진, 학습 습관 형성, 과제 수행, 교실 규칙 준수, 문제행동 감소에 실질적인 도움을 줄 수 있다. 그러나 효과적인 활용을 위해서는 학생의 행동을 구체적으로 정의하고, 바람직한 행동에 즉각적이고 구체적인 피드백을 제공하며, 처벌보다 대체 행동의 강화를 우선해야 한다. 또한 외적 보상에 대한 의존을 장기화하기보다 행동이 안정되면 간헐강화와 자기강화로 전환하여 학생의 자기조절과 내재적 동기를 촉진해야 한다.</w:t>
      </w:r>
    </w:p>
    <w:p>
      <w:pPr>
        <w:spacing w:before="0" w:after="100" w:line="396" w:lineRule="auto"/>
        <w:ind w:firstLine="454"/>
        <w:jc w:val="both"/>
      </w:pPr>
      <w:r>
        <w:rPr>
          <w:rFonts w:ascii="Malgun Gothic" w:hAnsi="Malgun Gothic" w:eastAsia="Malgun Gothic"/>
          <w:color w:val="222222"/>
          <w:sz w:val="21"/>
        </w:rPr>
        <w:t>생활 사례를 분석해 보면 일상적인 습관 역시 조작적 조건형성의 원리로 설명할 수 있다. 정해진 시간에 공부를 시작한 뒤 선호하는 여가활동을 제공한 경험은 정적 강화가 목표 행동을 증가시키는 과정을 보여준다. 특히 행동과 결과를 명확히 연결하고, 처음에는 지속적으로 강화한 후 점차 강화 빈도를 줄이는 과정은 교육 현장에서도 활용 가능한 원리이다. 이러한 점에서 조작적 조건형성은 단순히 보상과 처벌을 주는 기술이 아니라, 행동의 기능을 관찰하고 적절한 환경 조건을 설계하여 학습자의 긍정적 변화를 촉진하는 체계적 접근으로 이해해야 한다.</w:t>
      </w:r>
    </w:p>
    <w:p>
      <w:pPr>
        <w:spacing w:before="0" w:after="100" w:line="396" w:lineRule="auto"/>
        <w:ind w:firstLine="454"/>
        <w:jc w:val="both"/>
      </w:pPr>
      <w:r>
        <w:rPr>
          <w:rFonts w:ascii="Malgun Gothic" w:hAnsi="Malgun Gothic" w:eastAsia="Malgun Gothic"/>
          <w:color w:val="222222"/>
          <w:sz w:val="21"/>
        </w:rPr>
        <w:t>개인적으로 조작적 조건형성의 가장 중요한 교육적 의의는 “학생을 통제하는 방법”이 아니라 “성공 가능한 행동을 만들고 성공 경험을 누적시키는 방법”에 있다고 생각한다. 학생이 바람직한 행동을 보일 때 구체적으로 인정하고, 작은 변화부터 단계적으로 강화하며, 최종적으로는 외적 보상 없이도 스스로 행동을 조절할 수 있도록 돕는다면 행동주의 원리는 자율성과 상충하는 것이 아니라 오히려 자율성 발달의 초기 발판으로 기능할 수 있다. 따라서 교사는 강화와 처벌의 원리를 기계적으로 적용하기보다 학생의 존엄성과 장기적 성장이라는 교육적 목적 안에서 신중하게 활용해야 할 것이다.</w:t>
      </w:r>
    </w:p>
    <w:p>
      <w:pPr>
        <w:pStyle w:val="Heading1"/>
        <w:spacing w:before="160" w:after="160"/>
      </w:pPr>
      <w:r>
        <w:rPr>
          <w:rFonts w:ascii="Malgun Gothic" w:hAnsi="Malgun Gothic" w:eastAsia="Malgun Gothic"/>
          <w:b/>
          <w:color w:val="17365D"/>
          <w:sz w:val="30"/>
        </w:rPr>
        <w:t>참고문헌</w:t>
      </w:r>
    </w:p>
    <w:p>
      <w:pPr>
        <w:spacing w:after="100" w:line="336" w:lineRule="auto"/>
        <w:ind w:left="397" w:hanging="397"/>
      </w:pPr>
      <w:r>
        <w:rPr>
          <w:rFonts w:ascii="Malgun Gothic" w:hAnsi="Malgun Gothic" w:eastAsia="Malgun Gothic"/>
          <w:color w:val="222222"/>
          <w:sz w:val="20"/>
        </w:rPr>
        <w:t>임규혁·임웅. (2007). 『교육심리학』. 서울: 학지사.</w:t>
      </w:r>
    </w:p>
    <w:p>
      <w:pPr>
        <w:spacing w:after="100" w:line="336" w:lineRule="auto"/>
        <w:ind w:left="397" w:hanging="397"/>
      </w:pPr>
      <w:r>
        <w:rPr>
          <w:rFonts w:ascii="Malgun Gothic" w:hAnsi="Malgun Gothic" w:eastAsia="Malgun Gothic"/>
          <w:color w:val="222222"/>
          <w:sz w:val="20"/>
        </w:rPr>
        <w:t>신명희·강소연·김은경·김정민·노원경·황효정. (2018). 『교육심리학』. 서울: 학지사.</w:t>
      </w:r>
    </w:p>
    <w:p>
      <w:pPr>
        <w:spacing w:after="100" w:line="336" w:lineRule="auto"/>
        <w:ind w:left="397" w:hanging="397"/>
      </w:pPr>
      <w:r>
        <w:rPr>
          <w:rFonts w:ascii="Malgun Gothic" w:hAnsi="Malgun Gothic" w:eastAsia="Malgun Gothic"/>
          <w:color w:val="222222"/>
          <w:sz w:val="20"/>
        </w:rPr>
        <w:t>Skinner, B. F. (1953). Science and Human Behavior. New York, NY: Macmillan.</w:t>
      </w:r>
    </w:p>
    <w:p>
      <w:pPr>
        <w:spacing w:after="100" w:line="336" w:lineRule="auto"/>
        <w:ind w:left="397" w:hanging="397"/>
      </w:pPr>
      <w:r>
        <w:rPr>
          <w:rFonts w:ascii="Malgun Gothic" w:hAnsi="Malgun Gothic" w:eastAsia="Malgun Gothic"/>
          <w:color w:val="222222"/>
          <w:sz w:val="20"/>
        </w:rPr>
        <w:t>Skinner, B. F. (1968). The Technology of Teaching. New York, NY: Appleton-Century-Crofts.</w:t>
      </w:r>
    </w:p>
    <w:p>
      <w:pPr>
        <w:spacing w:after="100" w:line="336" w:lineRule="auto"/>
        <w:ind w:left="397" w:hanging="397"/>
      </w:pPr>
      <w:r>
        <w:rPr>
          <w:rFonts w:ascii="Malgun Gothic" w:hAnsi="Malgun Gothic" w:eastAsia="Malgun Gothic"/>
          <w:color w:val="222222"/>
          <w:sz w:val="20"/>
        </w:rPr>
        <w:t>Woolfolk, A. (2019). Educational Psychology (14th ed.). Pearson.</w:t>
      </w:r>
    </w:p>
    <w:p>
      <w:r>
        <w:br w:type="page"/>
      </w:r>
    </w:p>
    <w:p>
      <w:pPr>
        <w:spacing w:before="360"/>
        <w:jc w:val="center"/>
      </w:pPr>
      <w:r>
        <w:rPr>
          <w:rFonts w:ascii="Malgun Gothic" w:hAnsi="Malgun Gothic" w:eastAsia="Malgun Gothic"/>
          <w:b/>
          <w:color w:val="17365D"/>
          <w:sz w:val="36"/>
        </w:rPr>
        <w:t>과제 참고용 샘플 이용 안내</w:t>
      </w:r>
    </w:p>
    <w:tbl>
      <w:tblPr>
        <w:tblW w:type="auto" w:w="0"/>
        <w:jc w:val="center"/>
        <w:tblLayout w:type="fixed"/>
        <w:tblLook w:firstColumn="1" w:firstRow="1" w:lastColumn="0" w:lastRow="0" w:noHBand="0" w:noVBand="1" w:val="04A0"/>
      </w:tblPr>
      <w:tblGrid>
        <w:gridCol w:w="9518"/>
      </w:tblGrid>
      <w:tr>
        <w:tc>
          <w:tcPr>
            <w:tcW w:type="dxa" w:w="9071"/>
            <w:shd w:fill="FFF4E5"/>
            <w:tcBorders>
              <w:top w:val="single" w:sz="10" w:color="F0AD4E"/>
              <w:left w:val="single" w:sz="10" w:color="F0AD4E"/>
              <w:bottom w:val="single" w:sz="10" w:color="F0AD4E"/>
              <w:right w:val="single" w:sz="10" w:color="F0AD4E"/>
            </w:tcBorders>
          </w:tcPr>
          <w:p>
            <w:pPr>
              <w:spacing w:after="140"/>
            </w:pPr>
            <w:r>
              <w:rPr>
                <w:rFonts w:ascii="Malgun Gothic" w:hAnsi="Malgun Gothic" w:eastAsia="Malgun Gothic"/>
                <w:b/>
                <w:color w:val="C00000"/>
                <w:sz w:val="26"/>
              </w:rPr>
              <w:t>⚠️ 주의사항</w:t>
            </w:r>
          </w:p>
          <w:p>
            <w:pPr>
              <w:spacing w:line="372" w:lineRule="auto" w:after="240"/>
            </w:pPr>
            <w:r>
              <w:rPr>
                <w:rFonts w:ascii="Malgun Gothic" w:hAnsi="Malgun Gothic" w:eastAsia="Malgun Gothic"/>
                <w:color w:val="222222"/>
                <w:sz w:val="21"/>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pPr>
              <w:spacing w:before="120" w:after="120"/>
            </w:pPr>
            <w:r>
              <w:rPr>
                <w:rFonts w:ascii="Malgun Gothic" w:hAnsi="Malgun Gothic" w:eastAsia="Malgun Gothic"/>
                <w:b/>
                <w:color w:val="17365D"/>
                <w:sz w:val="24"/>
              </w:rPr>
              <w:t>※ 과제 수정이 어려우신가요?</w:t>
            </w:r>
          </w:p>
          <w:p>
            <w:pPr>
              <w:spacing w:line="360" w:lineRule="auto" w:after="200"/>
            </w:pPr>
            <w:r>
              <w:rPr>
                <w:rFonts w:ascii="Malgun Gothic" w:hAnsi="Malgun Gothic" w:eastAsia="Malgun Gothic"/>
                <w:color w:val="222222"/>
                <w:sz w:val="21"/>
              </w:rPr>
              <w:t>국민원격교육관리센터에서 1:1 과제 수정 도움을 드립니다.</w:t>
              <w:br/>
              <w:t>아래 연락처로 문의해 주세요.</w:t>
            </w:r>
          </w:p>
          <w:p>
            <w:pPr>
              <w:spacing w:after="100"/>
            </w:pPr>
            <w:r>
              <w:rPr>
                <w:rFonts w:ascii="Malgun Gothic" w:hAnsi="Malgun Gothic" w:eastAsia="Malgun Gothic"/>
                <w:b/>
                <w:color w:val="2F5597"/>
                <w:sz w:val="21"/>
              </w:rPr>
              <w:t xml:space="preserve">📞 전화: </w:t>
            </w:r>
            <w:r>
              <w:rPr>
                <w:rFonts w:ascii="Malgun Gothic" w:hAnsi="Malgun Gothic" w:eastAsia="Malgun Gothic"/>
                <w:color w:val="222222"/>
                <w:sz w:val="21"/>
              </w:rPr>
              <w:t>050-7878-7044</w:t>
            </w:r>
          </w:p>
          <w:p>
            <w:pPr>
              <w:spacing w:after="100"/>
            </w:pPr>
            <w:r>
              <w:rPr>
                <w:rFonts w:ascii="Malgun Gothic" w:hAnsi="Malgun Gothic" w:eastAsia="Malgun Gothic"/>
                <w:b/>
                <w:color w:val="2F5597"/>
                <w:sz w:val="21"/>
              </w:rPr>
              <w:t xml:space="preserve">💬 카카오톡: </w:t>
            </w:r>
            <w:r>
              <w:rPr>
                <w:rFonts w:ascii="Malgun Gothic" w:hAnsi="Malgun Gothic" w:eastAsia="Malgun Gothic"/>
                <w:color w:val="222222"/>
                <w:sz w:val="21"/>
              </w:rPr>
              <w:t>@국민원격교육관리센터</w:t>
            </w:r>
          </w:p>
          <w:p>
            <w:pPr>
              <w:spacing w:after="100"/>
            </w:pPr>
            <w:r>
              <w:rPr>
                <w:rFonts w:ascii="Malgun Gothic" w:hAnsi="Malgun Gothic" w:eastAsia="Malgun Gothic"/>
                <w:b/>
                <w:color w:val="2F5597"/>
                <w:sz w:val="21"/>
              </w:rPr>
              <w:t xml:space="preserve">🕐 운영시간: </w:t>
            </w:r>
            <w:r>
              <w:rPr>
                <w:rFonts w:ascii="Malgun Gothic" w:hAnsi="Malgun Gothic" w:eastAsia="Malgun Gothic"/>
                <w:color w:val="222222"/>
                <w:sz w:val="21"/>
              </w:rPr>
              <w:t>평일 10:00–19:00</w:t>
            </w:r>
          </w:p>
          <w:p>
            <w:pPr>
              <w:spacing w:after="100"/>
            </w:pPr>
            <w:r>
              <w:rPr>
                <w:rFonts w:ascii="Malgun Gothic" w:hAnsi="Malgun Gothic" w:eastAsia="Malgun Gothic"/>
                <w:b/>
                <w:color w:val="2F5597"/>
                <w:sz w:val="21"/>
              </w:rPr>
              <w:t xml:space="preserve">🌐 웹사이트: </w:t>
            </w:r>
            <w:r>
              <w:rPr>
                <w:rFonts w:ascii="Malgun Gothic" w:hAnsi="Malgun Gothic" w:eastAsia="Malgun Gothic"/>
                <w:color w:val="222222"/>
                <w:sz w:val="21"/>
              </w:rPr>
              <w:t>korealms.co.kr</w:t>
            </w:r>
          </w:p>
        </w:tc>
      </w:tr>
    </w:tbl>
    <w:sectPr w:rsidR="00FC693F" w:rsidRPr="0006063C" w:rsidSect="00034616">
      <w:pgSz w:w="12240" w:h="15840"/>
      <w:pgMar w:top="1247" w:right="1361" w:bottom="1134"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Malgun Gothic" w:hAnsi="Malgun Gothic" w:eastAsia="Malgun Gothic"/>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Malgun Gothic" w:hAnsi="Malgun Gothic" w:eastAsia="Malgun Gothic"/>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Malgun Gothic" w:hAnsi="Malgun Gothic" w:eastAsia="Malgun Gothic"/>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Malgun Gothic" w:hAnsi="Malgun Gothic" w:eastAsia="Malgun Gothic"/>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교육심리학 - 조작적 조건형성 과제 참고용 샘플</dc:title>
  <dc:subject>조작적 조건형성의 개념, 특징, 교육적 적용 및 생활 사례 분석</dc:subject>
  <dc:creator/>
  <cp:keywords/>
  <dc:description>학점은행제 과제 참고용 샘플</dc:description>
  <cp:lastModifiedBy/>
  <cp:revision>1</cp:revision>
  <dcterms:created xsi:type="dcterms:W3CDTF">2013-12-23T23:15:00Z</dcterms:created>
  <dcterms:modified xsi:type="dcterms:W3CDTF">2013-12-23T23:15:00Z</dcterms:modified>
  <cp:category/>
</cp:coreProperties>
</file>