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shd w:fill="0F3752"/>
      </w:pPr>
      <w:r>
        <w:rPr>
          <w:sz w:val="8"/>
        </w:rPr>
        <w:t xml:space="preserve"> </w:t>
      </w:r>
    </w:p>
    <w:p>
      <w:pPr>
        <w:spacing w:before="200" w:after="720"/>
        <w:jc w:val="right"/>
      </w:pPr>
      <w:r>
        <w:rPr>
          <w:rFonts w:ascii="NanumSquare" w:hAnsi="NanumSquare" w:eastAsia="NanumSquare"/>
          <w:b/>
          <w:color w:val="465A66"/>
          <w:sz w:val="20"/>
        </w:rPr>
        <w:t>해커스원격평생교육원</w:t>
      </w:r>
    </w:p>
    <w:p>
      <w:pPr>
        <w:spacing w:after="160"/>
        <w:jc w:val="center"/>
      </w:pPr>
      <w:r>
        <w:rPr>
          <w:rFonts w:ascii="NanumSquare" w:hAnsi="NanumSquare" w:eastAsia="NanumSquare"/>
          <w:b/>
          <w:color w:val="1F6675"/>
          <w:sz w:val="36"/>
        </w:rPr>
        <w:t>마케팅원론</w:t>
      </w:r>
    </w:p>
    <w:p>
      <w:pPr>
        <w:spacing w:before="200" w:after="140"/>
        <w:jc w:val="center"/>
      </w:pPr>
      <w:r>
        <w:rPr>
          <w:rFonts w:ascii="NanumSquare" w:hAnsi="NanumSquare" w:eastAsia="NanumSquare"/>
          <w:b/>
          <w:color w:val="0F3752"/>
          <w:sz w:val="38"/>
        </w:rPr>
        <w:t>전기차와 IT기업의 자동차산업 진입을 배경으로</w:t>
      </w:r>
    </w:p>
    <w:p>
      <w:pPr>
        <w:spacing w:after="760"/>
        <w:jc w:val="center"/>
      </w:pPr>
      <w:r>
        <w:rPr>
          <w:rFonts w:ascii="NanumSquare" w:hAnsi="NanumSquare" w:eastAsia="NanumSquare"/>
          <w:b/>
          <w:color w:val="0F3752"/>
          <w:sz w:val="38"/>
        </w:rPr>
        <w:t>경쟁의 개념과 경쟁우위 분석 과정을 단계별로 설명</w:t>
      </w:r>
    </w:p>
    <w:p>
      <w:pPr>
        <w:spacing w:after="760"/>
        <w:jc w:val="center"/>
      </w:pPr>
      <w:r>
        <w:rPr>
          <w:rFonts w:ascii="NanumSquare" w:hAnsi="NanumSquare" w:eastAsia="NanumSquare"/>
          <w:b/>
          <w:color w:val="5A5A5A"/>
          <w:sz w:val="21"/>
        </w:rPr>
        <w:t>학점은행제 과제 참고용 샘플</w:t>
      </w:r>
    </w:p>
    <w:tbl>
      <w:tblPr>
        <w:tblW w:type="auto" w:w="0"/>
        <w:jc w:val="center"/>
        <w:tblLayout w:type="fixed"/>
        <w:tblLook w:firstColumn="1" w:firstRow="1" w:lastColumn="0" w:lastRow="0" w:noHBand="0" w:noVBand="1" w:val="04A0"/>
      </w:tblPr>
      <w:tblGrid>
        <w:gridCol w:w="8496"/>
      </w:tblGrid>
      <w:tr>
        <w:tc>
          <w:tcPr>
            <w:tcW w:type="dxa" w:w="8496"/>
            <w:vAlign w:val="center"/>
            <w:shd w:fill="F3F7F8"/>
            <w:tcBorders>
              <w:top w:val="single" w:sz="10" w:color="D5E3E6"/>
              <w:left w:val="single" w:sz="10" w:color="D5E3E6"/>
              <w:bottom w:val="single" w:sz="10" w:color="D5E3E6"/>
              <w:right w:val="single" w:sz="10" w:color="D5E3E6"/>
            </w:tcBorders>
          </w:tcPr>
          <w:p>
            <w:pPr>
              <w:spacing w:after="200"/>
              <w:jc w:val="left"/>
            </w:pPr>
            <w:r>
              <w:rPr>
                <w:rFonts w:ascii="NanumSquare" w:hAnsi="NanumSquare" w:eastAsia="NanumSquare"/>
                <w:b/>
                <w:color w:val="1F6675"/>
                <w:sz w:val="26"/>
              </w:rPr>
              <w:t>목차</w:t>
            </w:r>
          </w:p>
          <w:p>
            <w:pPr>
              <w:spacing w:after="60"/>
              <w:ind w:left="120"/>
            </w:pPr>
            <w:r>
              <w:rPr>
                <w:rFonts w:ascii="NanumSquare" w:hAnsi="NanumSquare" w:eastAsia="NanumSquare"/>
                <w:color w:val="323C41"/>
                <w:sz w:val="20"/>
              </w:rPr>
              <w:t>Ⅰ. 서론</w:t>
            </w:r>
          </w:p>
          <w:p>
            <w:pPr>
              <w:spacing w:after="60"/>
              <w:ind w:left="120"/>
            </w:pPr>
            <w:r>
              <w:rPr>
                <w:rFonts w:ascii="NanumSquare" w:hAnsi="NanumSquare" w:eastAsia="NanumSquare"/>
                <w:color w:val="323C41"/>
                <w:sz w:val="20"/>
              </w:rPr>
              <w:t>Ⅱ. 본론</w:t>
            </w:r>
          </w:p>
          <w:p>
            <w:pPr>
              <w:spacing w:after="60"/>
              <w:ind w:left="120"/>
            </w:pPr>
            <w:r>
              <w:rPr>
                <w:rFonts w:ascii="NanumSquare" w:hAnsi="NanumSquare" w:eastAsia="NanumSquare"/>
                <w:color w:val="323C41"/>
                <w:sz w:val="20"/>
              </w:rPr>
              <w:t xml:space="preserve">  1. 경쟁의 개념과 자동차산업 경쟁환경의 변화</w:t>
            </w:r>
          </w:p>
          <w:p>
            <w:pPr>
              <w:spacing w:after="60"/>
              <w:ind w:left="120"/>
            </w:pPr>
            <w:r>
              <w:rPr>
                <w:rFonts w:ascii="NanumSquare" w:hAnsi="NanumSquare" w:eastAsia="NanumSquare"/>
                <w:color w:val="323C41"/>
                <w:sz w:val="20"/>
              </w:rPr>
              <w:t xml:space="preserve">  2. 경쟁우위의 개념과 유형</w:t>
            </w:r>
          </w:p>
          <w:p>
            <w:pPr>
              <w:spacing w:after="60"/>
              <w:ind w:left="120"/>
            </w:pPr>
            <w:r>
              <w:rPr>
                <w:rFonts w:ascii="NanumSquare" w:hAnsi="NanumSquare" w:eastAsia="NanumSquare"/>
                <w:color w:val="323C41"/>
                <w:sz w:val="20"/>
              </w:rPr>
              <w:t xml:space="preserve">  3. 경쟁우위 분석의 단계별 과정</w:t>
            </w:r>
          </w:p>
          <w:p>
            <w:pPr>
              <w:spacing w:after="60"/>
              <w:ind w:left="120"/>
            </w:pPr>
            <w:r>
              <w:rPr>
                <w:rFonts w:ascii="NanumSquare" w:hAnsi="NanumSquare" w:eastAsia="NanumSquare"/>
                <w:color w:val="323C41"/>
                <w:sz w:val="20"/>
              </w:rPr>
              <w:t xml:space="preserve">  4. 전기차·IT기업 진입 사례에 대한 적용</w:t>
            </w:r>
          </w:p>
          <w:p>
            <w:pPr>
              <w:spacing w:after="60"/>
              <w:ind w:left="120"/>
            </w:pPr>
            <w:r>
              <w:rPr>
                <w:rFonts w:ascii="NanumSquare" w:hAnsi="NanumSquare" w:eastAsia="NanumSquare"/>
                <w:color w:val="323C41"/>
                <w:sz w:val="20"/>
              </w:rPr>
              <w:t xml:space="preserve">  5. 마케팅 관점의 시사점</w:t>
            </w:r>
          </w:p>
          <w:p>
            <w:pPr>
              <w:spacing w:after="60"/>
              <w:ind w:left="120"/>
            </w:pPr>
            <w:r>
              <w:rPr>
                <w:rFonts w:ascii="NanumSquare" w:hAnsi="NanumSquare" w:eastAsia="NanumSquare"/>
                <w:color w:val="323C41"/>
                <w:sz w:val="20"/>
              </w:rPr>
              <w:t>Ⅲ. 결론</w:t>
            </w:r>
          </w:p>
          <w:p>
            <w:pPr>
              <w:spacing w:after="60"/>
              <w:ind w:left="120"/>
            </w:pPr>
            <w:r>
              <w:rPr>
                <w:rFonts w:ascii="NanumSquare" w:hAnsi="NanumSquare" w:eastAsia="NanumSquare"/>
                <w:color w:val="323C41"/>
                <w:sz w:val="20"/>
              </w:rPr>
              <w:t>Ⅳ. 참고문헌</w:t>
            </w:r>
          </w:p>
        </w:tc>
      </w:tr>
    </w:tbl>
    <w:p>
      <w:pPr>
        <w:spacing w:before="480"/>
        <w:jc w:val="center"/>
      </w:pPr>
      <w:r>
        <w:rPr>
          <w:rFonts w:ascii="NanumSquare" w:hAnsi="NanumSquare" w:eastAsia="NanumSquare"/>
          <w:color w:val="787878"/>
          <w:sz w:val="19"/>
        </w:rPr>
        <w:t>경영·경제 분야</w:t>
      </w:r>
    </w:p>
    <w:p>
      <w:r>
        <w:br w:type="page"/>
      </w:r>
    </w:p>
    <w:p>
      <w:pPr>
        <w:pStyle w:val="Heading1"/>
        <w:spacing w:before="200" w:after="180"/>
      </w:pPr>
      <w:r>
        <w:rPr>
          <w:rFonts w:ascii="NanumSquare" w:hAnsi="NanumSquare" w:eastAsia="NanumSquare"/>
          <w:b/>
          <w:color w:val="0F3752"/>
          <w:sz w:val="30"/>
        </w:rPr>
        <w:t>Ⅰ. 서론</w:t>
      </w:r>
    </w:p>
    <w:p>
      <w:pPr>
        <w:spacing w:before="0" w:after="100" w:line="389" w:lineRule="auto"/>
        <w:ind w:firstLine="420"/>
        <w:jc w:val="both"/>
      </w:pPr>
      <w:r>
        <w:rPr>
          <w:rFonts w:ascii="NanumSquare" w:hAnsi="NanumSquare" w:eastAsia="NanumSquare"/>
          <w:sz w:val="21"/>
        </w:rPr>
        <w:t>자동차 산업은 오랫동안 대규모 설비투자, 복잡한 공급망, 높은 품질관리 역량, 광범위한 판매·정비 네트워크가 요구되는 대표적인 진입장벽 산업으로 인식되어 왔다. 그러나 전기차의 확산과 소프트웨어 중심 차량(Software Defined Vehicle)의 발전은 기존의 경쟁 규칙을 빠르게 바꾸고 있다. 내연기관 차량에서 핵심이었던 엔진과 변속기 기술의 상대적 중요성이 감소하는 반면, 배터리 관리, 전력반도체, 차량용 운영체제, 자율주행 알고리즘, 데이터 처리, 사용자 인터페이스와 같은 역량이 경쟁력을 좌우하는 요소로 부상하였다. 이 변화는 테슬라와 같은 전기차 전문기업뿐 아니라 구글 계열의 웨이모, 중국의 샤오미와 같이 정보기술을 핵심 역량으로 보유한 기업이 자동차 산업의 가치사슬에 참여할 수 있는 여지를 넓혔다.</w:t>
      </w:r>
    </w:p>
    <w:p>
      <w:pPr>
        <w:spacing w:before="0" w:after="100" w:line="389" w:lineRule="auto"/>
        <w:ind w:firstLine="420"/>
        <w:jc w:val="both"/>
      </w:pPr>
      <w:r>
        <w:rPr>
          <w:rFonts w:ascii="NanumSquare" w:hAnsi="NanumSquare" w:eastAsia="NanumSquare"/>
          <w:sz w:val="21"/>
        </w:rPr>
        <w:t>이러한 변화는 경쟁을 단순히 “동종 자동차 제조사끼리 판매량을 다투는 현상”으로 볼 수 없게 만든다. 오늘날 자동차 산업의 경쟁은 완성차의 성능과 가격뿐 아니라 충전 인프라, 소프트웨어 업데이트, 데이터 기반 서비스, 스마트폰·가전과의 연결성, 자율주행 서비스, 브랜드 생태계까지 포괄하는 형태로 확장되고 있다. 따라서 기업이 경쟁우위를 확보하기 위해서는 산업구조와 경쟁자만을 보는 외부 분석과 자사의 자원·역량을 점검하는 내부 분석을 함께 수행해야 한다. 본 과제에서는 경쟁의 개념과 경쟁우위의 의미를 정리하고, 전기차 및 IT기업의 자동차 산업 진입을 배경으로 경쟁우위를 분석하는 과정을 단계별로 설명한 뒤, 주요 사례를 통해 마케팅적 시사점을 도출하고자 한다.</w:t>
      </w:r>
    </w:p>
    <w:p>
      <w:pPr>
        <w:pStyle w:val="Heading1"/>
        <w:spacing w:before="200" w:after="180"/>
      </w:pPr>
      <w:r>
        <w:rPr>
          <w:rFonts w:ascii="NanumSquare" w:hAnsi="NanumSquare" w:eastAsia="NanumSquare"/>
          <w:b/>
          <w:color w:val="0F3752"/>
          <w:sz w:val="30"/>
        </w:rPr>
        <w:t>Ⅱ. 본론</w:t>
      </w:r>
    </w:p>
    <w:p>
      <w:pPr>
        <w:pStyle w:val="Heading2"/>
        <w:spacing w:before="140" w:after="100"/>
      </w:pPr>
      <w:r>
        <w:rPr>
          <w:rFonts w:ascii="NanumSquare" w:hAnsi="NanumSquare" w:eastAsia="NanumSquare"/>
          <w:b/>
          <w:color w:val="1F6675"/>
          <w:sz w:val="24"/>
        </w:rPr>
        <w:t>1. 경쟁의 개념과 자동차산업 경쟁환경의 변화</w:t>
      </w:r>
    </w:p>
    <w:p>
      <w:pPr>
        <w:spacing w:before="0" w:after="100" w:line="389" w:lineRule="auto"/>
        <w:ind w:firstLine="420"/>
        <w:jc w:val="both"/>
      </w:pPr>
      <w:r>
        <w:rPr>
          <w:rFonts w:ascii="NanumSquare" w:hAnsi="NanumSquare" w:eastAsia="NanumSquare"/>
          <w:sz w:val="21"/>
        </w:rPr>
        <w:t>경쟁은 동일하거나 유사한 고객의 욕구를 충족시키기 위해 둘 이상의 기업이 제한된 시장기회와 고객 선택을 두고 상대적으로 우월한 가치를 제공하려는 상호작용을 의미한다. 마케팅 관점에서 경쟁자는 반드시 같은 제품을 생산하는 기업만을 뜻하지 않는다. 고객이 가진 동일한 욕구를 서로 다른 방식으로 해결할 수 있다면 대체재나 플랫폼 사업자도 경쟁자가 될 수 있다. 예를 들어 소비자의 이동 욕구를 기준으로 보면 전통적 완성차 기업뿐 아니라 전기차 전문기업, 자율주행 모빌리티 사업자, 차량공유 플랫폼도 일정 부분 경쟁관계를 형성한다. Kotler와 Keller(2016)는 경쟁자 분석에서 산업 내부의 직접 경쟁자뿐 아니라 고객의 대안 선택까지 폭넓게 파악해야 함을 강조한다.</w:t>
      </w:r>
    </w:p>
    <w:p>
      <w:pPr>
        <w:spacing w:before="0" w:after="100" w:line="389" w:lineRule="auto"/>
        <w:ind w:firstLine="420"/>
        <w:jc w:val="both"/>
      </w:pPr>
      <w:r>
        <w:rPr>
          <w:rFonts w:ascii="NanumSquare" w:hAnsi="NanumSquare" w:eastAsia="NanumSquare"/>
          <w:sz w:val="21"/>
        </w:rPr>
        <w:t>자동차 산업의 경쟁 범위가 확대된 가장 큰 배경은 기술 패러다임의 전환이다. 전기차는 내연기관차에 비해 기계적 부품 수가 상대적으로 적고, 배터리·모터·인버터·제어 소프트웨어의 중요성이 크다. 이 때문에 기존 완성차 기업이 오랜 기간 축적해 온 엔진 중심 기술자산의 일부는 경쟁우위의 원천으로서 영향력이 낮아졌고, 전자·소프트웨어·배터리 기업이 보유한 역량의 전략적 가치가 높아졌다. 또한 차량이 네트워크에 연결되면서 구매 이후에도 기능이 업데이트되고 서비스가 추가되는 구조가 강화되어, 자동차가 일회성 내구재에서 지속적 디지털 서비스 플랫폼으로 변화하고 있다.</w:t>
      </w:r>
    </w:p>
    <w:p>
      <w:pPr>
        <w:spacing w:before="0" w:after="100" w:line="389" w:lineRule="auto"/>
        <w:ind w:firstLine="420"/>
        <w:jc w:val="both"/>
      </w:pPr>
      <w:r>
        <w:rPr>
          <w:rFonts w:ascii="NanumSquare" w:hAnsi="NanumSquare" w:eastAsia="NanumSquare"/>
          <w:sz w:val="21"/>
        </w:rPr>
        <w:t>이 변화는 산업의 경계를 재설정한다. 과거에는 완성차 제조사가 공급자를 관리하고 제품을 조립하여 딜러망을 통해 판매하는 구조가 중심이었다면, 현재는 배터리 제조사, 반도체 기업, 지도·클라우드·인공지능 기업, 운영체제 제공자, 충전사업자, 콘텐츠 사업자 등이 고객경험 형성에 직접적인 영향을 미친다. 국제에너지기구(IEA, 2024)가 전기차 시장의 확대와 가격경쟁 심화를 지적한 것처럼, 전동화는 단순한 동력원의 교체가 아니라 산업의 경쟁주체와 수익모델을 함께 변화시키는 요인으로 볼 수 있다. 따라서 자동차 기업은 경쟁자를 제품 기준이 아니라 고객 가치와 생태계 기준으로 다시 정의할 필요가 있다.</w:t>
      </w:r>
    </w:p>
    <w:p>
      <w:pPr>
        <w:pStyle w:val="Heading2"/>
        <w:spacing w:before="140" w:after="100"/>
      </w:pPr>
      <w:r>
        <w:rPr>
          <w:rFonts w:ascii="NanumSquare" w:hAnsi="NanumSquare" w:eastAsia="NanumSquare"/>
          <w:b/>
          <w:color w:val="1F6675"/>
          <w:sz w:val="24"/>
        </w:rPr>
        <w:t>2. 경쟁우위의 개념과 유형</w:t>
      </w:r>
    </w:p>
    <w:p>
      <w:pPr>
        <w:spacing w:before="0" w:after="100" w:line="389" w:lineRule="auto"/>
        <w:ind w:firstLine="420"/>
        <w:jc w:val="both"/>
      </w:pPr>
      <w:r>
        <w:rPr>
          <w:rFonts w:ascii="NanumSquare" w:hAnsi="NanumSquare" w:eastAsia="NanumSquare"/>
          <w:sz w:val="21"/>
        </w:rPr>
        <w:t>경쟁우위란 기업이 경쟁자보다 고객에게 더 큰 가치를 제공하거나, 동일한 가치를 더 낮은 비용으로 제공함으로써 시장에서 상대적으로 유리한 위치를 차지하는 상태를 의미한다. Porter(1985)는 경쟁우위를 비용우위와 차별화우위의 관점에서 설명하였다. 비용우위는 규모의 경제, 효율적 공급망, 공정혁신 등을 통해 더 낮은 비용구조를 확보하는 것이며, 차별화우위는 품질, 디자인, 브랜드, 서비스, 기술, 편의성 등 고객이 중요하게 인식하는 속성에서 독특한 가치를 제공하는 것이다. 특정 세분시장에 자원을 집중하는 집중화 전략도 이러한 우위를 특정 고객집단에 적용하는 방식으로 이해할 수 있다.</w:t>
      </w:r>
    </w:p>
    <w:p>
      <w:pPr>
        <w:spacing w:before="0" w:after="100" w:line="389" w:lineRule="auto"/>
        <w:ind w:firstLine="420"/>
        <w:jc w:val="both"/>
      </w:pPr>
      <w:r>
        <w:rPr>
          <w:rFonts w:ascii="NanumSquare" w:hAnsi="NanumSquare" w:eastAsia="NanumSquare"/>
          <w:sz w:val="21"/>
        </w:rPr>
        <w:t>그러나 경쟁우위는 시장 위치만으로 설명하기 어렵다. Barney(1991)의 자원기반관점은 가치 있고(Valuable), 희소하며(Rare), 모방하기 어렵고(Inimitable), 조직적으로 활용되는(Organized) 자원과 역량이 지속적 경쟁우위의 원천이 될 수 있다고 본다. 자동차 산업에 적용하면 대규모 생산능력이나 딜러망 같은 유형자산뿐 아니라 배터리 효율화 알고리즘, 주행데이터, 소프트웨어 개발문화, 브랜드 신뢰, 공급망 협상력, 플랫폼 생태계도 중요한 자원이다. 특히 IT기업은 제조설비 측면에서는 후발주자이지만 데이터, 운영체제, 인공지능, 사용자경험 설계와 같은 무형자산에서 강점을 가질 수 있다.</w:t>
      </w:r>
    </w:p>
    <w:p>
      <w:pPr>
        <w:spacing w:before="0" w:after="100" w:line="389" w:lineRule="auto"/>
        <w:ind w:firstLine="420"/>
        <w:jc w:val="both"/>
      </w:pPr>
      <w:r>
        <w:rPr>
          <w:rFonts w:ascii="NanumSquare" w:hAnsi="NanumSquare" w:eastAsia="NanumSquare"/>
          <w:sz w:val="21"/>
        </w:rPr>
        <w:t>따라서 전기차 시대의 경쟁우위는 하나의 요소보다 결합된 시스템으로 이해하는 것이 적절하다. 예를 들어 낮은 생산비만으로는 브랜드 신뢰와 충전 편의성이 부족할 경우 고객을 확보하기 어렵고, 뛰어난 소프트웨어 기능만으로는 품질관리와 안전성, 대량생산 역량이 뒷받침되지 않으면 시장확대가 제한될 수 있다. 즉 경쟁우위는 “어떤 강점이 있는가”뿐 아니라 “그 강점들이 고객가치 창출 과정에서 서로 어떻게 연결되는가”를 분석해야 한다.</w:t>
      </w:r>
    </w:p>
    <w:p>
      <w:pPr>
        <w:pStyle w:val="Heading2"/>
        <w:spacing w:before="140" w:after="100"/>
      </w:pPr>
      <w:r>
        <w:rPr>
          <w:rFonts w:ascii="NanumSquare" w:hAnsi="NanumSquare" w:eastAsia="NanumSquare"/>
          <w:b/>
          <w:color w:val="1F6675"/>
          <w:sz w:val="24"/>
        </w:rPr>
        <w:t>3. 경쟁우위 분석의 단계별 과정</w:t>
      </w:r>
    </w:p>
    <w:p>
      <w:pPr>
        <w:spacing w:before="0" w:after="100" w:line="389" w:lineRule="auto"/>
        <w:ind w:firstLine="420"/>
        <w:jc w:val="both"/>
      </w:pPr>
      <w:r>
        <w:rPr>
          <w:rFonts w:ascii="NanumSquare" w:hAnsi="NanumSquare" w:eastAsia="NanumSquare"/>
          <w:sz w:val="21"/>
        </w:rPr>
        <w:t>경쟁우위 분석은 단순한 SWOT 작성에 그치지 않고 외부환경, 경쟁자, 고객, 내부자원을 연계하여 전략대안을 도출하는 과정으로 수행되어야 한다. 다음의 여섯 단계는 전기차와 IT기업의 자동차 산업 진입 상황을 체계적으로 분석하는 데 활용할 수 있다.</w:t>
      </w:r>
    </w:p>
    <w:p>
      <w:pPr>
        <w:spacing w:before="0" w:after="100" w:line="389" w:lineRule="auto"/>
        <w:ind w:firstLine="420"/>
        <w:jc w:val="both"/>
      </w:pPr>
      <w:r>
        <w:rPr>
          <w:rFonts w:ascii="NanumSquare" w:hAnsi="NanumSquare" w:eastAsia="NanumSquare"/>
          <w:sz w:val="21"/>
        </w:rPr>
        <w:t>첫째, 시장의 범위와 경쟁자를 정의한다. 경쟁우위 분석의 출발점은 “우리의 경쟁자는 누구인가”를 정하는 것이다. 전통적 산업분류만 따르면 완성차 기업끼리만 비교하게 되지만, 고객가치 관점에서는 전기차 전문기업, 자율주행 서비스, 차량공유 플랫폼, 스마트 디바이스 생태계까지 고려해야 한다. 시장 범위는 제품, 고객집단, 지역, 사용상황을 기준으로 구체화할 수 있다. 예를 들어 도심 출퇴근용 중형 전기차 시장과 고급 자율주행 모빌리티 시장은 핵심 경쟁자와 구매결정 요인이 서로 다르다. 경쟁자를 직접 경쟁자, 잠재적 진입자, 대체재, 보완재 제공자로 구분하면 분석의 누락을 줄일 수 있다.</w:t>
      </w:r>
    </w:p>
    <w:p>
      <w:pPr>
        <w:spacing w:before="0" w:after="100" w:line="389" w:lineRule="auto"/>
        <w:ind w:firstLine="420"/>
        <w:jc w:val="both"/>
      </w:pPr>
      <w:r>
        <w:rPr>
          <w:rFonts w:ascii="NanumSquare" w:hAnsi="NanumSquare" w:eastAsia="NanumSquare"/>
          <w:sz w:val="21"/>
        </w:rPr>
        <w:t>둘째, 거시환경과 산업구조를 분석한다. 거시환경은 정책·규제, 경제상황, 사회·문화, 기술변화 등의 PEST 관점으로 살펴볼 수 있으며, 산업구조는 Porter(1980)의 5가지 경쟁요인 모형을 활용할 수 있다. 전기차 산업에서는 정부의 친환경 규제와 보조정책, 배터리 원재료 가격, 충전 인프라 확충, 소비자의 친환경 인식, 자율주행 및 반도체 기술발전 등이 중요한 변수이다. 5가지 경쟁요인으로는 기존 완성차 기업 간 경쟁강도, IT기업 및 신생 전기차 기업의 진입위협, 배터리·반도체 공급자의 교섭력, 소비자의 가격비교 가능성에 따른 구매자 교섭력, 대중교통·차량공유 등 대체 이동수단의 위협을 검토할 수 있다.</w:t>
      </w:r>
    </w:p>
    <w:p>
      <w:pPr>
        <w:spacing w:before="0" w:after="100" w:line="389" w:lineRule="auto"/>
        <w:ind w:firstLine="420"/>
        <w:jc w:val="both"/>
      </w:pPr>
      <w:r>
        <w:rPr>
          <w:rFonts w:ascii="NanumSquare" w:hAnsi="NanumSquare" w:eastAsia="NanumSquare"/>
          <w:sz w:val="21"/>
        </w:rPr>
        <w:t>셋째, 주요 경쟁자의 목표·전략·가치제안을 비교한다. 같은 전기차를 판매하더라도 기업마다 경쟁방식은 다르다. 어떤 기업은 가격과 생산규모를, 다른 기업은 고급 브랜드와 성능을, 또 다른 기업은 자율주행과 소프트웨어 경험을 강조할 수 있다. 이 단계에서는 경쟁자의 표적시장, 가격정책, 제품 포트폴리오, 유통방식, 커뮤니케이션, 파트너십, 서비스 모델을 비교한다. 단순한 기능 나열보다 경쟁자가 어떤 고객문제를 어떤 방식으로 해결하려 하는지를 파악해야 하며, 고객이 실제로 중요하게 평가하는 구매기준과 연결해 평가해야 한다.</w:t>
      </w:r>
    </w:p>
    <w:p>
      <w:pPr>
        <w:spacing w:before="0" w:after="100" w:line="389" w:lineRule="auto"/>
        <w:ind w:firstLine="420"/>
        <w:jc w:val="both"/>
      </w:pPr>
      <w:r>
        <w:rPr>
          <w:rFonts w:ascii="NanumSquare" w:hAnsi="NanumSquare" w:eastAsia="NanumSquare"/>
          <w:sz w:val="21"/>
        </w:rPr>
        <w:t>넷째, 자사의 가치사슬과 자원·역량을 진단한다. Porter(1985)의 가치사슬 관점에서는 연구개발, 조달, 생산, 물류, 마케팅·판매, 서비스 활동에서 비용과 차별화의 원천을 찾는다. 동시에 VRIO 기준으로 핵심자원이 가치 있고 희소하며 모방이 어렵고 조직적으로 활용되고 있는지를 검토한다. 전통적 완성차 기업은 제조품질, 안전인증, 글로벌 서비스망, 공급망 관리에서 강점을 가질 수 있고, IT기업은 데이터 분석, 인공지능, 운영체제, 사용자 인터페이스, 소프트웨어 업데이트 속도에서 우위를 가질 수 있다. 분석의 핵심은 강점을 많이 나열하는 것이 아니라 경쟁전략과 직접 연결되는 핵심역량을 선별하는 것이다.</w:t>
      </w:r>
    </w:p>
    <w:p>
      <w:pPr>
        <w:spacing w:before="0" w:after="100" w:line="389" w:lineRule="auto"/>
        <w:ind w:firstLine="420"/>
        <w:jc w:val="both"/>
      </w:pPr>
      <w:r>
        <w:rPr>
          <w:rFonts w:ascii="NanumSquare" w:hAnsi="NanumSquare" w:eastAsia="NanumSquare"/>
          <w:sz w:val="21"/>
        </w:rPr>
        <w:t>다섯째, 경쟁자와의 상대적 격차를 비교하고 경쟁우위 후보를 도출한다. 여기서는 고객이 중요하게 보는 속성을 가로축으로 두고 각 기업의 상대적 수준을 비교하는 경쟁프로파일을 활용할 수 있다. 전기차 시장의 경우 주행거리, 충전편의성, 차량가격, 품질신뢰성, 소프트웨어 완성도, 자율주행 기능, 연결성, 브랜드 이미지, 서비스 네트워크 등이 평가항목이 될 수 있다. 자사가 우수하더라도 고객이 중요하게 생각하지 않는 속성이라면 경쟁우위가 되기 어렵고, 고객이 중요하게 생각하더라도 경쟁사가 쉽게 모방할 수 있다면 지속적 우위로 이어지기 어렵다. 따라서 고객중요도, 상대적 우수성, 모방난이도 세 기준을 동시에 고려해야 한다.</w:t>
      </w:r>
    </w:p>
    <w:p>
      <w:pPr>
        <w:spacing w:before="0" w:after="100" w:line="389" w:lineRule="auto"/>
        <w:ind w:firstLine="420"/>
        <w:jc w:val="both"/>
      </w:pPr>
      <w:r>
        <w:rPr>
          <w:rFonts w:ascii="NanumSquare" w:hAnsi="NanumSquare" w:eastAsia="NanumSquare"/>
          <w:sz w:val="21"/>
        </w:rPr>
        <w:t>여섯째, 전략을 선택하고 성과지표를 통해 지속적으로 재평가한다. 도출된 경쟁우위 후보 중에서 비용우위, 차별화, 특정 세그먼트 집중, 플랫폼·생태계 확대 등 적합한 전략을 선택하고 마케팅 믹스와 연결한다. 이후 시장점유율, 고객획득비용, 재구매율, 브랜드 선호도, 소프트웨어 유료서비스 이용률, 충전 네트워크 이용률, 품질지표 등 핵심성과지표를 설정하여 실제 경쟁우위가 성과로 이어지는지를 검증한다. 전기차와 소프트웨어 산업은 기술변화가 빠르므로 경쟁우위를 고정된 자산으로 보기보다 지속적으로 갱신해야 하는 동적 역량으로 관리할 필요가 있다.</w:t>
      </w:r>
    </w:p>
    <w:p>
      <w:pPr>
        <w:spacing w:before="140" w:after="80"/>
      </w:pPr>
      <w:r>
        <w:rPr>
          <w:rFonts w:ascii="NanumSquare" w:hAnsi="NanumSquare" w:eastAsia="NanumSquare"/>
          <w:b/>
          <w:color w:val="1F6675"/>
          <w:sz w:val="19"/>
        </w:rPr>
        <w:t>표 1. 자동차산업 주요 경쟁주체의 경쟁우위 원천 비교</w:t>
      </w:r>
    </w:p>
    <w:tbl>
      <w:tblPr>
        <w:tblStyle w:val="TableGrid"/>
        <w:tblW w:type="auto" w:w="0"/>
        <w:jc w:val="center"/>
        <w:tblLook w:firstColumn="1" w:firstRow="1" w:lastColumn="0" w:lastRow="0" w:noHBand="0" w:noVBand="1" w:val="04A0"/>
      </w:tblPr>
      <w:tblGrid>
        <w:gridCol w:w="2426"/>
        <w:gridCol w:w="2426"/>
        <w:gridCol w:w="2426"/>
        <w:gridCol w:w="2426"/>
      </w:tblGrid>
      <w:tr>
        <w:trPr>
          <w:tblHeader w:val="true"/>
        </w:trPr>
        <w:tc>
          <w:tcPr>
            <w:tcW w:type="dxa" w:w="2426"/>
            <w:shd w:fill="DCECEF"/>
            <w:vAlign w:val="center"/>
          </w:tcPr>
          <w:p>
            <w:pPr>
              <w:jc w:val="center"/>
            </w:pPr>
            <w:r>
              <w:rPr>
                <w:rFonts w:ascii="NanumSquare" w:hAnsi="NanumSquare" w:eastAsia="NanumSquare"/>
                <w:b/>
                <w:color w:val="0F3752"/>
                <w:sz w:val="17"/>
              </w:rPr>
              <w:t>경쟁주체</w:t>
            </w:r>
          </w:p>
        </w:tc>
        <w:tc>
          <w:tcPr>
            <w:tcW w:type="dxa" w:w="2426"/>
            <w:shd w:fill="DCECEF"/>
            <w:vAlign w:val="center"/>
          </w:tcPr>
          <w:p>
            <w:pPr>
              <w:jc w:val="center"/>
            </w:pPr>
            <w:r>
              <w:rPr>
                <w:rFonts w:ascii="NanumSquare" w:hAnsi="NanumSquare" w:eastAsia="NanumSquare"/>
                <w:b/>
                <w:color w:val="0F3752"/>
                <w:sz w:val="17"/>
              </w:rPr>
              <w:t>대표적 강점</w:t>
            </w:r>
          </w:p>
        </w:tc>
        <w:tc>
          <w:tcPr>
            <w:tcW w:type="dxa" w:w="2426"/>
            <w:shd w:fill="DCECEF"/>
            <w:vAlign w:val="center"/>
          </w:tcPr>
          <w:p>
            <w:pPr>
              <w:jc w:val="center"/>
            </w:pPr>
            <w:r>
              <w:rPr>
                <w:rFonts w:ascii="NanumSquare" w:hAnsi="NanumSquare" w:eastAsia="NanumSquare"/>
                <w:b/>
                <w:color w:val="0F3752"/>
                <w:sz w:val="17"/>
              </w:rPr>
              <w:t>잠재적 약점</w:t>
            </w:r>
          </w:p>
        </w:tc>
        <w:tc>
          <w:tcPr>
            <w:tcW w:type="dxa" w:w="2426"/>
            <w:shd w:fill="DCECEF"/>
            <w:vAlign w:val="center"/>
          </w:tcPr>
          <w:p>
            <w:pPr>
              <w:jc w:val="center"/>
            </w:pPr>
            <w:r>
              <w:rPr>
                <w:rFonts w:ascii="NanumSquare" w:hAnsi="NanumSquare" w:eastAsia="NanumSquare"/>
                <w:b/>
                <w:color w:val="0F3752"/>
                <w:sz w:val="17"/>
              </w:rPr>
              <w:t>주요 경쟁우위 방향</w:t>
            </w:r>
          </w:p>
        </w:tc>
      </w:tr>
      <w:tr>
        <w:tc>
          <w:tcPr>
            <w:tcW w:type="dxa" w:w="2426"/>
            <w:vAlign w:val="center"/>
          </w:tcPr>
          <w:p>
            <w:pPr>
              <w:spacing w:after="0" w:line="300" w:lineRule="auto"/>
              <w:jc w:val="left"/>
            </w:pPr>
            <w:r>
              <w:rPr>
                <w:rFonts w:ascii="NanumSquare" w:hAnsi="NanumSquare" w:eastAsia="NanumSquare"/>
                <w:sz w:val="17"/>
              </w:rPr>
              <w:t>전통 완성차 기업</w:t>
            </w:r>
          </w:p>
        </w:tc>
        <w:tc>
          <w:tcPr>
            <w:tcW w:type="dxa" w:w="2426"/>
            <w:vAlign w:val="center"/>
          </w:tcPr>
          <w:p>
            <w:pPr>
              <w:spacing w:after="0" w:line="300" w:lineRule="auto"/>
              <w:jc w:val="left"/>
            </w:pPr>
            <w:r>
              <w:rPr>
                <w:rFonts w:ascii="NanumSquare" w:hAnsi="NanumSquare" w:eastAsia="NanumSquare"/>
                <w:sz w:val="17"/>
              </w:rPr>
              <w:t>생산·품질관리, 안전성, 공급망, 서비스망</w:t>
            </w:r>
          </w:p>
        </w:tc>
        <w:tc>
          <w:tcPr>
            <w:tcW w:type="dxa" w:w="2426"/>
            <w:vAlign w:val="center"/>
          </w:tcPr>
          <w:p>
            <w:pPr>
              <w:spacing w:after="0" w:line="300" w:lineRule="auto"/>
              <w:jc w:val="left"/>
            </w:pPr>
            <w:r>
              <w:rPr>
                <w:rFonts w:ascii="NanumSquare" w:hAnsi="NanumSquare" w:eastAsia="NanumSquare"/>
                <w:sz w:val="17"/>
              </w:rPr>
              <w:t>소프트웨어 전환 속도와 조직 관성</w:t>
            </w:r>
          </w:p>
        </w:tc>
        <w:tc>
          <w:tcPr>
            <w:tcW w:type="dxa" w:w="2426"/>
            <w:vAlign w:val="center"/>
          </w:tcPr>
          <w:p>
            <w:pPr>
              <w:spacing w:after="0" w:line="300" w:lineRule="auto"/>
              <w:jc w:val="left"/>
            </w:pPr>
            <w:r>
              <w:rPr>
                <w:rFonts w:ascii="NanumSquare" w:hAnsi="NanumSquare" w:eastAsia="NanumSquare"/>
                <w:sz w:val="17"/>
              </w:rPr>
              <w:t>신뢰성·서비스·제조역량을 디지털 경험과 결합</w:t>
            </w:r>
          </w:p>
        </w:tc>
      </w:tr>
      <w:tr>
        <w:tc>
          <w:tcPr>
            <w:tcW w:type="dxa" w:w="2426"/>
            <w:vAlign w:val="center"/>
            <w:shd w:fill="F8FAFA"/>
          </w:tcPr>
          <w:p>
            <w:pPr>
              <w:spacing w:after="0" w:line="300" w:lineRule="auto"/>
              <w:jc w:val="left"/>
            </w:pPr>
            <w:r>
              <w:rPr>
                <w:rFonts w:ascii="NanumSquare" w:hAnsi="NanumSquare" w:eastAsia="NanumSquare"/>
                <w:sz w:val="17"/>
              </w:rPr>
              <w:t>전기차 전문기업</w:t>
            </w:r>
          </w:p>
        </w:tc>
        <w:tc>
          <w:tcPr>
            <w:tcW w:type="dxa" w:w="2426"/>
            <w:vAlign w:val="center"/>
            <w:shd w:fill="F8FAFA"/>
          </w:tcPr>
          <w:p>
            <w:pPr>
              <w:spacing w:after="0" w:line="300" w:lineRule="auto"/>
              <w:jc w:val="left"/>
            </w:pPr>
            <w:r>
              <w:rPr>
                <w:rFonts w:ascii="NanumSquare" w:hAnsi="NanumSquare" w:eastAsia="NanumSquare"/>
                <w:sz w:val="17"/>
              </w:rPr>
              <w:t>전동화 전용 설계, 빠른 의사결정, 직접판매, 배터리·SW 통합</w:t>
            </w:r>
          </w:p>
        </w:tc>
        <w:tc>
          <w:tcPr>
            <w:tcW w:type="dxa" w:w="2426"/>
            <w:vAlign w:val="center"/>
            <w:shd w:fill="F8FAFA"/>
          </w:tcPr>
          <w:p>
            <w:pPr>
              <w:spacing w:after="0" w:line="300" w:lineRule="auto"/>
              <w:jc w:val="left"/>
            </w:pPr>
            <w:r>
              <w:rPr>
                <w:rFonts w:ascii="NanumSquare" w:hAnsi="NanumSquare" w:eastAsia="NanumSquare"/>
                <w:sz w:val="17"/>
              </w:rPr>
              <w:t>규모 확대 과정의 품질·서비스 부담</w:t>
            </w:r>
          </w:p>
        </w:tc>
        <w:tc>
          <w:tcPr>
            <w:tcW w:type="dxa" w:w="2426"/>
            <w:vAlign w:val="center"/>
            <w:shd w:fill="F8FAFA"/>
          </w:tcPr>
          <w:p>
            <w:pPr>
              <w:spacing w:after="0" w:line="300" w:lineRule="auto"/>
              <w:jc w:val="left"/>
            </w:pPr>
            <w:r>
              <w:rPr>
                <w:rFonts w:ascii="NanumSquare" w:hAnsi="NanumSquare" w:eastAsia="NanumSquare"/>
                <w:sz w:val="17"/>
              </w:rPr>
              <w:t>기술 이미지와 통합형 전기차 경험 강화</w:t>
            </w:r>
          </w:p>
        </w:tc>
      </w:tr>
      <w:tr>
        <w:tc>
          <w:tcPr>
            <w:tcW w:type="dxa" w:w="2426"/>
            <w:vAlign w:val="center"/>
          </w:tcPr>
          <w:p>
            <w:pPr>
              <w:spacing w:after="0" w:line="300" w:lineRule="auto"/>
              <w:jc w:val="left"/>
            </w:pPr>
            <w:r>
              <w:rPr>
                <w:rFonts w:ascii="NanumSquare" w:hAnsi="NanumSquare" w:eastAsia="NanumSquare"/>
                <w:sz w:val="17"/>
              </w:rPr>
              <w:t>IT·플랫폼 기업</w:t>
            </w:r>
          </w:p>
        </w:tc>
        <w:tc>
          <w:tcPr>
            <w:tcW w:type="dxa" w:w="2426"/>
            <w:vAlign w:val="center"/>
          </w:tcPr>
          <w:p>
            <w:pPr>
              <w:spacing w:after="0" w:line="300" w:lineRule="auto"/>
              <w:jc w:val="left"/>
            </w:pPr>
            <w:r>
              <w:rPr>
                <w:rFonts w:ascii="NanumSquare" w:hAnsi="NanumSquare" w:eastAsia="NanumSquare"/>
                <w:sz w:val="17"/>
              </w:rPr>
              <w:t>AI·데이터, OS, UX, 생태계, 클라우드</w:t>
            </w:r>
          </w:p>
        </w:tc>
        <w:tc>
          <w:tcPr>
            <w:tcW w:type="dxa" w:w="2426"/>
            <w:vAlign w:val="center"/>
          </w:tcPr>
          <w:p>
            <w:pPr>
              <w:spacing w:after="0" w:line="300" w:lineRule="auto"/>
              <w:jc w:val="left"/>
            </w:pPr>
            <w:r>
              <w:rPr>
                <w:rFonts w:ascii="NanumSquare" w:hAnsi="NanumSquare" w:eastAsia="NanumSquare"/>
                <w:sz w:val="17"/>
              </w:rPr>
              <w:t>대량생산·인증·정비 경험 부족</w:t>
            </w:r>
          </w:p>
        </w:tc>
        <w:tc>
          <w:tcPr>
            <w:tcW w:type="dxa" w:w="2426"/>
            <w:vAlign w:val="center"/>
          </w:tcPr>
          <w:p>
            <w:pPr>
              <w:spacing w:after="0" w:line="300" w:lineRule="auto"/>
              <w:jc w:val="left"/>
            </w:pPr>
            <w:r>
              <w:rPr>
                <w:rFonts w:ascii="NanumSquare" w:hAnsi="NanumSquare" w:eastAsia="NanumSquare"/>
                <w:sz w:val="17"/>
              </w:rPr>
              <w:t>차량을 디지털 플랫폼으로 확장</w:t>
            </w:r>
          </w:p>
        </w:tc>
      </w:tr>
      <w:tr>
        <w:tc>
          <w:tcPr>
            <w:tcW w:type="dxa" w:w="2426"/>
            <w:vAlign w:val="center"/>
            <w:shd w:fill="F8FAFA"/>
          </w:tcPr>
          <w:p>
            <w:pPr>
              <w:spacing w:after="0" w:line="300" w:lineRule="auto"/>
              <w:jc w:val="left"/>
            </w:pPr>
            <w:r>
              <w:rPr>
                <w:rFonts w:ascii="NanumSquare" w:hAnsi="NanumSquare" w:eastAsia="NanumSquare"/>
                <w:sz w:val="17"/>
              </w:rPr>
              <w:t>배터리·부품 기업</w:t>
            </w:r>
          </w:p>
        </w:tc>
        <w:tc>
          <w:tcPr>
            <w:tcW w:type="dxa" w:w="2426"/>
            <w:vAlign w:val="center"/>
            <w:shd w:fill="F8FAFA"/>
          </w:tcPr>
          <w:p>
            <w:pPr>
              <w:spacing w:after="0" w:line="300" w:lineRule="auto"/>
              <w:jc w:val="left"/>
            </w:pPr>
            <w:r>
              <w:rPr>
                <w:rFonts w:ascii="NanumSquare" w:hAnsi="NanumSquare" w:eastAsia="NanumSquare"/>
                <w:sz w:val="17"/>
              </w:rPr>
              <w:t>핵심부품 기술, 원가·성능 개선, B2B 네트워크</w:t>
            </w:r>
          </w:p>
        </w:tc>
        <w:tc>
          <w:tcPr>
            <w:tcW w:type="dxa" w:w="2426"/>
            <w:vAlign w:val="center"/>
            <w:shd w:fill="F8FAFA"/>
          </w:tcPr>
          <w:p>
            <w:pPr>
              <w:spacing w:after="0" w:line="300" w:lineRule="auto"/>
              <w:jc w:val="left"/>
            </w:pPr>
            <w:r>
              <w:rPr>
                <w:rFonts w:ascii="NanumSquare" w:hAnsi="NanumSquare" w:eastAsia="NanumSquare"/>
                <w:sz w:val="17"/>
              </w:rPr>
              <w:t>최종 소비자 브랜드 접점 제한</w:t>
            </w:r>
          </w:p>
        </w:tc>
        <w:tc>
          <w:tcPr>
            <w:tcW w:type="dxa" w:w="2426"/>
            <w:vAlign w:val="center"/>
            <w:shd w:fill="F8FAFA"/>
          </w:tcPr>
          <w:p>
            <w:pPr>
              <w:spacing w:after="0" w:line="300" w:lineRule="auto"/>
              <w:jc w:val="left"/>
            </w:pPr>
            <w:r>
              <w:rPr>
                <w:rFonts w:ascii="NanumSquare" w:hAnsi="NanumSquare" w:eastAsia="NanumSquare"/>
                <w:sz w:val="17"/>
              </w:rPr>
              <w:t>핵심 기술 표준과 공급망 영향력 강화</w:t>
            </w:r>
          </w:p>
        </w:tc>
      </w:tr>
    </w:tbl>
    <w:p>
      <w:pPr>
        <w:pStyle w:val="Heading2"/>
        <w:spacing w:before="140" w:after="100"/>
      </w:pPr>
      <w:r>
        <w:rPr>
          <w:rFonts w:ascii="NanumSquare" w:hAnsi="NanumSquare" w:eastAsia="NanumSquare"/>
          <w:b/>
          <w:color w:val="1F6675"/>
          <w:sz w:val="24"/>
        </w:rPr>
        <w:t>4. 전기차·IT기업 진입 사례에 대한 적용</w:t>
      </w:r>
    </w:p>
    <w:p>
      <w:pPr>
        <w:spacing w:before="0" w:after="100" w:line="389" w:lineRule="auto"/>
        <w:ind w:firstLine="420"/>
        <w:jc w:val="both"/>
      </w:pPr>
      <w:r>
        <w:rPr>
          <w:rFonts w:ascii="NanumSquare" w:hAnsi="NanumSquare" w:eastAsia="NanumSquare"/>
          <w:sz w:val="21"/>
        </w:rPr>
        <w:t>전기차 전문기업의 대표적 사례로 테슬라를 들 수 있다. 테슬라는 기존 내연기관 기업의 제품개발 관행과 다른 방식으로 전기차를 설계하고, 차량 소프트웨어의 무선 업데이트, 직접판매 방식, 급속충전 네트워크, 데이터 기반 기능개선 등을 하나의 고객경험으로 결합하였다. 이를 앞의 분석 단계에 적용하면, 테슬라는 단순히 “새로운 자동차 제조사”가 아니라 전기차·소프트웨어·충전 인프라를 통합한 경쟁자로 정의할 수 있다. 외부환경 측면에서는 친환경 규제와 배터리 기술 발전이라는 기회를 활용하였고, 내부자원 측면에서는 소프트웨어 통합역량과 전기차 중심의 조직구조가 차별화 원천으로 작용하였다. 이 사례는 경쟁우위가 개별 기능보다 시스템 전체의 일관성에서 강화될 수 있음을 보여준다.</w:t>
      </w:r>
    </w:p>
    <w:p>
      <w:pPr>
        <w:spacing w:before="0" w:after="100" w:line="389" w:lineRule="auto"/>
        <w:ind w:firstLine="420"/>
        <w:jc w:val="both"/>
      </w:pPr>
      <w:r>
        <w:rPr>
          <w:rFonts w:ascii="NanumSquare" w:hAnsi="NanumSquare" w:eastAsia="NanumSquare"/>
          <w:sz w:val="21"/>
        </w:rPr>
        <w:t>IT기업의 진입은 자동차 산업의 경쟁 기준을 더욱 넓힌다. 웨이모와 같은 기업은 완성차 판매 자체보다 자율주행 기술과 모빌리티 서비스에 강점을 두며, 샤오미와 같은 소비자 전자기업은 스마트폰·가전·운영체제 생태계와 차량을 연결하는 방향으로 시장에 접근한다. 이들의 강점은 전통적 제조역량이 아니라 소프트웨어 개발, 데이터 처리, 사용자 인터페이스, 기존 디지털 고객기반에 있다. 경쟁자 분석 단계에서는 이러한 기업을 단순한 신생 자동차 업체로 분류하기보다 “차량을 자사 디지털 생태계의 새로운 접점으로 활용하는 기업”으로 이해할 필요가 있다. 이 경우 경쟁우위의 핵심 평가항목도 엔진 성능이 아니라 연결성, 사용자경험, 서비스 연속성, 데이터 활용능력으로 이동한다.</w:t>
      </w:r>
    </w:p>
    <w:p>
      <w:pPr>
        <w:spacing w:before="0" w:after="100" w:line="389" w:lineRule="auto"/>
        <w:ind w:firstLine="420"/>
        <w:jc w:val="both"/>
      </w:pPr>
      <w:r>
        <w:rPr>
          <w:rFonts w:ascii="NanumSquare" w:hAnsi="NanumSquare" w:eastAsia="NanumSquare"/>
          <w:sz w:val="21"/>
        </w:rPr>
        <w:t>반대로 전통 완성차 기업이 반드시 불리한 것은 아니다. 자동차는 안전성과 내구성이 중요한 고관여 제품이며, 글로벌 규제 대응, 충돌안전, 생산품질, 부품조달, 리콜 및 정비 체계는 단기간에 구축하기 어렵다. 따라서 기존 기업은 오랫동안 축적한 제조·서비스 역량을 디지털 기술과 결합할 때 강력한 경쟁우위를 형성할 수 있다. 예를 들어 차량 플랫폼의 공용화와 규모의 경제를 활용해 원가를 낮추는 동시에, 외부 소프트웨어 기업과의 제휴를 통해 연결성과 자율주행 기능을 강화하는 전략이 가능하다. 이는 경쟁우위가 “전통기업 대 신생기업”의 이분법이 아니라 각 기업이 어떤 보완자산을 결합하느냐에 따라 달라짐을 의미한다.</w:t>
      </w:r>
    </w:p>
    <w:p>
      <w:pPr>
        <w:spacing w:before="0" w:after="100" w:line="389" w:lineRule="auto"/>
        <w:ind w:firstLine="420"/>
        <w:jc w:val="both"/>
      </w:pPr>
      <w:r>
        <w:rPr>
          <w:rFonts w:ascii="NanumSquare" w:hAnsi="NanumSquare" w:eastAsia="NanumSquare"/>
          <w:sz w:val="21"/>
        </w:rPr>
        <w:t>특히 전기차 시장에서는 가격경쟁이 심화될수록 단일 기술의 차별화가 빠르게 약화될 가능성이 있다. 배터리 성능이나 주행거리의 격차가 축소되면 소비자는 충전 접근성, 잔존가치, 정비 편의, 소프트웨어 안정성, 브랜드 신뢰, 차량과 디지털 생활의 연결성을 종합적으로 평가하게 된다. 이때 기업은 제품 차원의 우위에서 서비스와 생태계 차원의 우위로 경쟁의 초점을 확장해야 한다. 이는 Porter의 포지셔닝 관점과 Barney의 자원기반관점을 결합할 필요성을 보여주는 부분이다. 외부시장에 매력적인 위치를 차지하는 것과 내부적으로 모방하기 어려운 역량을 보유하는 것이 동시에 충족될 때 상대적으로 지속 가능한 경쟁우위가 형성되기 때문이다.</w:t>
      </w:r>
    </w:p>
    <w:p>
      <w:pPr>
        <w:pStyle w:val="Heading2"/>
        <w:spacing w:before="140" w:after="100"/>
      </w:pPr>
      <w:r>
        <w:rPr>
          <w:rFonts w:ascii="NanumSquare" w:hAnsi="NanumSquare" w:eastAsia="NanumSquare"/>
          <w:b/>
          <w:color w:val="1F6675"/>
          <w:sz w:val="24"/>
        </w:rPr>
        <w:t>5. 마케팅 관점의 시사점</w:t>
      </w:r>
    </w:p>
    <w:p>
      <w:pPr>
        <w:spacing w:before="0" w:after="100" w:line="389" w:lineRule="auto"/>
        <w:ind w:firstLine="420"/>
        <w:jc w:val="both"/>
      </w:pPr>
      <w:r>
        <w:rPr>
          <w:rFonts w:ascii="NanumSquare" w:hAnsi="NanumSquare" w:eastAsia="NanumSquare"/>
          <w:sz w:val="21"/>
        </w:rPr>
        <w:t>첫째, 경쟁자 정의는 제품 중심에서 고객문제 중심으로 전환되어야 한다. 자동차 기업이 경쟁자를 다른 완성차 기업으로만 한정하면 자율주행 서비스, 차량공유, 스마트 디바이스 생태계가 고객의 이동과 차량사용 경험을 어떻게 변화시키는지 놓칠 수 있다. 마케팅 담당자는 고객이 “자동차를 소유한다”는 행위보다 “안전하고 편리하게 이동하고 연결된 생활을 누린다”는 욕구를 어떤 대안으로 충족하는지 살펴보아야 한다.</w:t>
      </w:r>
    </w:p>
    <w:p>
      <w:pPr>
        <w:spacing w:before="0" w:after="100" w:line="389" w:lineRule="auto"/>
        <w:ind w:firstLine="420"/>
        <w:jc w:val="both"/>
      </w:pPr>
      <w:r>
        <w:rPr>
          <w:rFonts w:ascii="NanumSquare" w:hAnsi="NanumSquare" w:eastAsia="NanumSquare"/>
          <w:sz w:val="21"/>
        </w:rPr>
        <w:t>둘째, 경쟁우위는 고객이 지각하는 가치로 번역되어야 한다. 기업 내부에서 기술적으로 우수한 기능이라 하더라도 고객이 이해하지 못하거나 사용과정에서 불편을 느낀다면 마케팅 우위가 되기 어렵다. 예를 들어 고도화된 소프트웨어 기능은 직관적인 인터페이스, 안정적인 업데이트, 개인정보 보호, 충분한 사후지원과 함께 제공될 때 고객가치로 전환된다. 따라서 연구개발 부서의 성과를 고객언어로 변환하고, 구매 전·구매 시·구매 후 경험 전체에서 일관된 가치를 설계하는 것이 중요하다.</w:t>
      </w:r>
    </w:p>
    <w:p>
      <w:pPr>
        <w:spacing w:before="0" w:after="100" w:line="389" w:lineRule="auto"/>
        <w:ind w:firstLine="420"/>
        <w:jc w:val="both"/>
      </w:pPr>
      <w:r>
        <w:rPr>
          <w:rFonts w:ascii="NanumSquare" w:hAnsi="NanumSquare" w:eastAsia="NanumSquare"/>
          <w:sz w:val="21"/>
        </w:rPr>
        <w:t>셋째, 생태계와 파트너십이 경쟁우위의 핵심 요소가 된다. 전기차 한 대를 완성하는 데 필요한 기술범위가 넓어지면서 모든 역량을 한 기업이 내부화하기 어렵다. 배터리, 반도체, 지도, 클라우드, 충전, 콘텐츠 등 보완재 제공자와의 협력관계는 고객경험의 품질과 혁신속도에 직접 영향을 준다. 따라서 경쟁우위 분석에서 협력자를 단순한 공급자가 아니라 가치공동창출 파트너로 평가해야 하며, 어떤 기술은 내부화하고 어떤 기술은 제휴할 것인지에 대한 선택이 전략적 과제가 된다.</w:t>
      </w:r>
    </w:p>
    <w:p>
      <w:pPr>
        <w:spacing w:before="0" w:after="100" w:line="389" w:lineRule="auto"/>
        <w:ind w:firstLine="420"/>
        <w:jc w:val="both"/>
      </w:pPr>
      <w:r>
        <w:rPr>
          <w:rFonts w:ascii="NanumSquare" w:hAnsi="NanumSquare" w:eastAsia="NanumSquare"/>
          <w:sz w:val="21"/>
        </w:rPr>
        <w:t>넷째, 지속적 모니터링이 필요하다. 자동차의 개발주기는 길지만 소프트웨어와 디지털 서비스의 경쟁주기는 짧다. 한 시점의 SWOT이나 경쟁자 비교표는 빠르게 낡을 수 있으므로 고객데이터, 시장반응, 기술로드맵, 규제변화, 경쟁사의 가격·서비스 정책을 정기적으로 재평가해야 한다. 특히 경쟁우위가 기술 자체에만 의존할 경우 모방과 표준화로 우위가 약화될 수 있으므로 브랜드, 커뮤니티, 데이터 학습효과, 서비스망과 같이 시간이 누적될수록 강화되는 자산을 함께 구축하는 것이 바람직하다.</w:t>
      </w:r>
    </w:p>
    <w:p>
      <w:pPr>
        <w:pStyle w:val="Heading1"/>
        <w:spacing w:before="200" w:after="180"/>
      </w:pPr>
      <w:r>
        <w:rPr>
          <w:rFonts w:ascii="NanumSquare" w:hAnsi="NanumSquare" w:eastAsia="NanumSquare"/>
          <w:b/>
          <w:color w:val="0F3752"/>
          <w:sz w:val="30"/>
        </w:rPr>
        <w:t>Ⅲ. 결론</w:t>
      </w:r>
    </w:p>
    <w:p>
      <w:pPr>
        <w:spacing w:before="0" w:after="100" w:line="389" w:lineRule="auto"/>
        <w:ind w:firstLine="420"/>
        <w:jc w:val="both"/>
      </w:pPr>
      <w:r>
        <w:rPr>
          <w:rFonts w:ascii="NanumSquare" w:hAnsi="NanumSquare" w:eastAsia="NanumSquare"/>
          <w:sz w:val="21"/>
        </w:rPr>
        <w:t>전기차 확산과 IT기업의 자동차 산업 진입은 경쟁의 개념을 산업 내부의 제조사 간 경쟁에서 고객경험과 디지털 생태계를 둘러싼 경쟁으로 확장시키고 있다. 이에 따라 경쟁우위 역시 낮은 원가나 우수한 제품기능 하나만으로 설명하기 어려워졌다. 오늘날의 자동차 기업은 제조품질, 배터리 기술, 소프트웨어, 데이터, 충전 인프라, 브랜드, 서비스 네트워크와 같은 여러 자원을 연결하여 고객에게 차별적 가치를 제공해야 한다.</w:t>
      </w:r>
    </w:p>
    <w:p>
      <w:pPr>
        <w:spacing w:before="0" w:after="100" w:line="389" w:lineRule="auto"/>
        <w:ind w:firstLine="420"/>
        <w:jc w:val="both"/>
      </w:pPr>
      <w:r>
        <w:rPr>
          <w:rFonts w:ascii="NanumSquare" w:hAnsi="NanumSquare" w:eastAsia="NanumSquare"/>
          <w:sz w:val="21"/>
        </w:rPr>
        <w:t>경쟁우위 분석은 ① 시장 범위와 경쟁자 정의, ② 거시환경 및 산업구조 분석, ③ 경쟁자의 목표·전략·가치제안 비교, ④ 자사의 가치사슬과 자원·역량 진단, ⑤ 고객중요도와 상대적 격차에 기초한 우위 후보 도출, ⑥ 전략 선택과 성과 모니터링의 순서로 수행할 수 있다. 이 과정은 외부환경 중심의 산업분석과 내부자원 중심의 역량분석을 연결한다는 점에서 의미가 있다.</w:t>
      </w:r>
    </w:p>
    <w:p>
      <w:pPr>
        <w:spacing w:before="0" w:after="100" w:line="389" w:lineRule="auto"/>
        <w:ind w:firstLine="420"/>
        <w:jc w:val="both"/>
      </w:pPr>
      <w:r>
        <w:rPr>
          <w:rFonts w:ascii="NanumSquare" w:hAnsi="NanumSquare" w:eastAsia="NanumSquare"/>
          <w:sz w:val="21"/>
        </w:rPr>
        <w:t>본 과제에서 살펴본 사례를 종합하면, 전기차 전문기업과 IT기업의 진입은 기존 자동차 기업의 경쟁우위를 약화시키기만 하는 현상이 아니라 새로운 결합의 가능성을 만드는 변화라고 판단된다. 신생기업은 소프트웨어와 데이터에서 앞설 수 있지만 생산품질과 서비스망이 필요하고, 기존 기업은 제조와 신뢰에서 강점을 가지지만 디지털 전환이 필요하다. 결국 지속 가능한 경쟁우위는 어느 한쪽의 단일 강점이 아니라 서로 다른 역량을 고객가치 중심으로 통합하고 빠르게 학습하는 능력에서 형성될 가능성이 높다. 마케팅 관점에서도 기업은 제품 판매를 넘어 이동·연결·서비스의 전체 경험을 설계하고, 그 경험이 경쟁자보다 왜 더 가치 있는지를 명확하게 전달해야 할 것이다.</w:t>
      </w:r>
    </w:p>
    <w:p>
      <w:pPr>
        <w:pStyle w:val="Heading1"/>
        <w:spacing w:before="200" w:after="180"/>
      </w:pPr>
      <w:r>
        <w:rPr>
          <w:rFonts w:ascii="NanumSquare" w:hAnsi="NanumSquare" w:eastAsia="NanumSquare"/>
          <w:b/>
          <w:color w:val="0F3752"/>
          <w:sz w:val="30"/>
        </w:rPr>
        <w:t>Ⅳ. 참고문헌</w:t>
      </w:r>
    </w:p>
    <w:p>
      <w:pPr>
        <w:spacing w:after="100" w:line="324" w:lineRule="auto"/>
        <w:ind w:left="280" w:hanging="280"/>
      </w:pPr>
      <w:r>
        <w:rPr>
          <w:rFonts w:ascii="NanumSquare" w:hAnsi="NanumSquare" w:eastAsia="NanumSquare"/>
          <w:sz w:val="19"/>
        </w:rPr>
        <w:t>Barney, J. (1991). Firm resources and sustained competitive advantage. Journal of Management, 17(1), 99-120.</w:t>
      </w:r>
    </w:p>
    <w:p>
      <w:pPr>
        <w:spacing w:after="100" w:line="324" w:lineRule="auto"/>
        <w:ind w:left="280" w:hanging="280"/>
      </w:pPr>
      <w:r>
        <w:rPr>
          <w:rFonts w:ascii="NanumSquare" w:hAnsi="NanumSquare" w:eastAsia="NanumSquare"/>
          <w:sz w:val="19"/>
        </w:rPr>
        <w:t>International Energy Agency. (2024). Global EV Outlook 2024: Moving towards increased affordability. Paris: IEA.</w:t>
      </w:r>
    </w:p>
    <w:p>
      <w:pPr>
        <w:spacing w:after="100" w:line="324" w:lineRule="auto"/>
        <w:ind w:left="280" w:hanging="280"/>
      </w:pPr>
      <w:r>
        <w:rPr>
          <w:rFonts w:ascii="NanumSquare" w:hAnsi="NanumSquare" w:eastAsia="NanumSquare"/>
          <w:sz w:val="19"/>
        </w:rPr>
        <w:t>Kotler, P., &amp; Keller, K. L. (2016). Marketing Management (15th ed.). Pearson.</w:t>
      </w:r>
    </w:p>
    <w:p>
      <w:pPr>
        <w:spacing w:after="100" w:line="324" w:lineRule="auto"/>
        <w:ind w:left="280" w:hanging="280"/>
      </w:pPr>
      <w:r>
        <w:rPr>
          <w:rFonts w:ascii="NanumSquare" w:hAnsi="NanumSquare" w:eastAsia="NanumSquare"/>
          <w:sz w:val="19"/>
        </w:rPr>
        <w:t>Porter, M. E. (1980). Competitive Strategy: Techniques for Analyzing Industries and Competitors. Free Press.</w:t>
      </w:r>
    </w:p>
    <w:p>
      <w:pPr>
        <w:spacing w:after="100" w:line="324" w:lineRule="auto"/>
        <w:ind w:left="280" w:hanging="280"/>
      </w:pPr>
      <w:r>
        <w:rPr>
          <w:rFonts w:ascii="NanumSquare" w:hAnsi="NanumSquare" w:eastAsia="NanumSquare"/>
          <w:sz w:val="19"/>
        </w:rPr>
        <w:t>Porter, M. E. (1985). Competitive Advantage: Creating and Sustaining Superior Performance. Free Press.</w:t>
      </w:r>
    </w:p>
    <w:p>
      <w:pPr>
        <w:spacing w:after="100" w:line="324" w:lineRule="auto"/>
        <w:ind w:left="280" w:hanging="280"/>
      </w:pPr>
      <w:r>
        <w:rPr>
          <w:rFonts w:ascii="NanumSquare" w:hAnsi="NanumSquare" w:eastAsia="NanumSquare"/>
          <w:sz w:val="19"/>
        </w:rPr>
        <w:t>Christensen, C. M. (1997). The Innovator's Dilemma: When New Technologies Cause Great Firms to Fail. Harvard Business School Press.</w:t>
      </w:r>
    </w:p>
    <w:p>
      <w:r>
        <w:br w:type="page"/>
      </w:r>
    </w:p>
    <w:p>
      <w:pPr>
        <w:spacing w:before="840" w:after="360"/>
        <w:jc w:val="center"/>
      </w:pPr>
      <w:r>
        <w:rPr>
          <w:rFonts w:ascii="NanumSquare" w:hAnsi="NanumSquare" w:eastAsia="NanumSquare"/>
          <w:b/>
          <w:color w:val="0F3752"/>
          <w:sz w:val="36"/>
        </w:rPr>
        <w:t>과제 참고용 샘플 이용 안내</w:t>
      </w:r>
    </w:p>
    <w:tbl>
      <w:tblPr>
        <w:tblW w:type="auto" w:w="0"/>
        <w:jc w:val="center"/>
        <w:tblLayout w:type="fixed"/>
        <w:tblLook w:firstColumn="1" w:firstRow="1" w:lastColumn="0" w:lastRow="0" w:noHBand="0" w:noVBand="1" w:val="04A0"/>
      </w:tblPr>
      <w:tblGrid>
        <w:gridCol w:w="8928"/>
      </w:tblGrid>
      <w:tr>
        <w:tc>
          <w:tcPr>
            <w:tcW w:type="dxa" w:w="9706"/>
            <w:shd w:fill="FFF5E8"/>
            <w:tcBorders>
              <w:top w:val="single" w:sz="12" w:color="E7B66D"/>
              <w:left w:val="single" w:sz="12" w:color="E7B66D"/>
              <w:bottom w:val="single" w:sz="12" w:color="E7B66D"/>
              <w:right w:val="single" w:sz="12" w:color="E7B66D"/>
            </w:tcBorders>
          </w:tcPr>
          <w:p>
            <w:pPr>
              <w:spacing w:after="200"/>
            </w:pPr>
            <w:r>
              <w:rPr>
                <w:rFonts w:ascii="Noto Sans CJK KR" w:hAnsi="Noto Sans CJK KR" w:eastAsia="Noto Sans CJK KR"/>
                <w:b/>
                <w:color w:val="875519"/>
                <w:sz w:val="25"/>
              </w:rPr>
              <w:t>⚠ 주의사항</w:t>
            </w:r>
          </w:p>
          <w:p>
            <w:pPr>
              <w:spacing w:after="80" w:line="336" w:lineRule="auto"/>
            </w:pPr>
            <w:r>
              <w:rPr>
                <w:rFonts w:ascii="NanumSquare" w:hAnsi="NanumSquare" w:eastAsia="NanumSquare"/>
                <w:b w:val="0"/>
                <w:sz w:val="21"/>
              </w:rPr>
              <w:t>본 자료는 학점은행제 과제 참고용 샘플입니다.</w:t>
            </w:r>
          </w:p>
          <w:p>
            <w:pPr>
              <w:spacing w:after="80" w:line="336" w:lineRule="auto"/>
            </w:pPr>
            <w:r>
              <w:rPr>
                <w:rFonts w:ascii="NanumSquare" w:hAnsi="NanumSquare" w:eastAsia="NanumSquare"/>
                <w:b w:val="0"/>
                <w:sz w:val="21"/>
              </w:rPr>
              <w:t>위 학습 자료를 그대로 제출할 경우 모사율(표절률)로 인하여</w:t>
            </w:r>
          </w:p>
          <w:p>
            <w:pPr>
              <w:spacing w:after="80" w:line="336" w:lineRule="auto"/>
            </w:pPr>
            <w:r>
              <w:rPr>
                <w:rFonts w:ascii="NanumSquare" w:hAnsi="NanumSquare" w:eastAsia="NanumSquare"/>
                <w:b w:val="0"/>
                <w:sz w:val="21"/>
              </w:rPr>
              <w:t>성적 불이익 또는 해당 과목 0점 처리될 수 있습니다.</w:t>
            </w:r>
          </w:p>
          <w:p>
            <w:pPr>
              <w:spacing w:after="80" w:line="336" w:lineRule="auto"/>
            </w:pPr>
            <w:r>
              <w:rPr>
                <w:rFonts w:ascii="NanumSquare" w:hAnsi="NanumSquare" w:eastAsia="NanumSquare"/>
                <w:b/>
                <w:sz w:val="21"/>
              </w:rPr>
              <w:t>반드시 본인의 언어로 수정·재작성하여 제출하시기 바랍니다.</w:t>
            </w:r>
          </w:p>
        </w:tc>
      </w:tr>
    </w:tbl>
    <w:p>
      <w:pPr>
        <w:spacing w:after="240"/>
      </w:pPr>
    </w:p>
    <w:tbl>
      <w:tblPr>
        <w:tblW w:type="auto" w:w="0"/>
        <w:jc w:val="center"/>
        <w:tblLayout w:type="fixed"/>
        <w:tblLook w:firstColumn="1" w:firstRow="1" w:lastColumn="0" w:lastRow="0" w:noHBand="0" w:noVBand="1" w:val="04A0"/>
      </w:tblPr>
      <w:tblGrid>
        <w:gridCol w:w="8928"/>
      </w:tblGrid>
      <w:tr>
        <w:tc>
          <w:tcPr>
            <w:tcW w:type="dxa" w:w="9706"/>
            <w:shd w:fill="EDF7F8"/>
            <w:tcBorders>
              <w:top w:val="single" w:sz="12" w:color="8BC3CA"/>
              <w:left w:val="single" w:sz="12" w:color="8BC3CA"/>
              <w:bottom w:val="single" w:sz="12" w:color="8BC3CA"/>
              <w:right w:val="single" w:sz="12" w:color="8BC3CA"/>
            </w:tcBorders>
          </w:tcPr>
          <w:p>
            <w:pPr>
              <w:spacing w:after="160"/>
            </w:pPr>
            <w:r>
              <w:rPr>
                <w:rFonts w:ascii="Noto Sans CJK KR" w:hAnsi="Noto Sans CJK KR" w:eastAsia="Noto Sans CJK KR"/>
                <w:b/>
                <w:color w:val="1F6675"/>
                <w:sz w:val="25"/>
              </w:rPr>
              <w:t>📌 과제 수정이 어려우신가요?</w:t>
            </w:r>
          </w:p>
          <w:p>
            <w:pPr>
              <w:spacing w:after="80" w:line="336" w:lineRule="auto"/>
            </w:pPr>
            <w:r>
              <w:rPr>
                <w:rFonts w:ascii="NanumSquare" w:hAnsi="NanumSquare" w:eastAsia="NanumSquare"/>
                <w:sz w:val="21"/>
              </w:rPr>
              <w:t>국민원격교육관리센터에서 1:1 과제 수정 도움을 드립니다.</w:t>
            </w:r>
          </w:p>
          <w:p>
            <w:pPr>
              <w:spacing w:after="80" w:line="336" w:lineRule="auto"/>
            </w:pPr>
            <w:r>
              <w:rPr>
                <w:rFonts w:ascii="NanumSquare" w:hAnsi="NanumSquare" w:eastAsia="NanumSquare"/>
                <w:sz w:val="21"/>
              </w:rPr>
              <w:t>아래 연락처로 문의해 주세요.</w:t>
            </w:r>
          </w:p>
          <w:p>
            <w:pPr>
              <w:spacing w:after="80" w:line="324" w:lineRule="auto"/>
            </w:pPr>
            <w:r>
              <w:rPr>
                <w:rFonts w:ascii="Noto Sans CJK KR" w:hAnsi="Noto Sans CJK KR" w:eastAsia="Noto Sans CJK KR"/>
                <w:b/>
                <w:color w:val="0F3752"/>
                <w:sz w:val="20"/>
              </w:rPr>
              <w:t xml:space="preserve">📞 전화: </w:t>
            </w:r>
            <w:r>
              <w:rPr>
                <w:rFonts w:ascii="NanumSquare" w:hAnsi="NanumSquare" w:eastAsia="NanumSquare"/>
                <w:sz w:val="20"/>
              </w:rPr>
              <w:t>050-7878-7044</w:t>
            </w:r>
          </w:p>
          <w:p>
            <w:pPr>
              <w:spacing w:after="80" w:line="324" w:lineRule="auto"/>
            </w:pPr>
            <w:r>
              <w:rPr>
                <w:rFonts w:ascii="Noto Sans CJK KR" w:hAnsi="Noto Sans CJK KR" w:eastAsia="Noto Sans CJK KR"/>
                <w:b/>
                <w:color w:val="0F3752"/>
                <w:sz w:val="20"/>
              </w:rPr>
              <w:t xml:space="preserve">💬 카카오톡: </w:t>
            </w:r>
            <w:r>
              <w:rPr>
                <w:rFonts w:ascii="NanumSquare" w:hAnsi="NanumSquare" w:eastAsia="NanumSquare"/>
                <w:sz w:val="20"/>
              </w:rPr>
              <w:t>@국민원격교육관리센터</w:t>
            </w:r>
          </w:p>
          <w:p>
            <w:pPr>
              <w:spacing w:after="80" w:line="324" w:lineRule="auto"/>
            </w:pPr>
            <w:r>
              <w:rPr>
                <w:rFonts w:ascii="Noto Sans CJK KR" w:hAnsi="Noto Sans CJK KR" w:eastAsia="Noto Sans CJK KR"/>
                <w:b/>
                <w:color w:val="0F3752"/>
                <w:sz w:val="20"/>
              </w:rPr>
              <w:t xml:space="preserve">🕐 운영시간: </w:t>
            </w:r>
            <w:r>
              <w:rPr>
                <w:rFonts w:ascii="NanumSquare" w:hAnsi="NanumSquare" w:eastAsia="NanumSquare"/>
                <w:sz w:val="20"/>
              </w:rPr>
              <w:t>평일 10:00–19:00</w:t>
            </w:r>
          </w:p>
          <w:p>
            <w:pPr>
              <w:spacing w:after="80" w:line="324" w:lineRule="auto"/>
            </w:pPr>
            <w:r>
              <w:rPr>
                <w:rFonts w:ascii="Noto Sans CJK KR" w:hAnsi="Noto Sans CJK KR" w:eastAsia="Noto Sans CJK KR"/>
                <w:b/>
                <w:color w:val="0F3752"/>
                <w:sz w:val="20"/>
              </w:rPr>
              <w:t xml:space="preserve">🌐 웹사이트: </w:t>
            </w:r>
            <w:r>
              <w:rPr>
                <w:rFonts w:ascii="NanumSquare" w:hAnsi="NanumSquare" w:eastAsia="NanumSquare"/>
                <w:sz w:val="20"/>
              </w:rPr>
              <w:t>korealms.co.kr</w:t>
            </w:r>
          </w:p>
        </w:tc>
      </w:tr>
    </w:tbl>
    <w:p>
      <w:pPr>
        <w:spacing w:before="440"/>
        <w:jc w:val="center"/>
      </w:pPr>
      <w:r>
        <w:rPr>
          <w:rFonts w:ascii="NanumSquare" w:hAnsi="NanumSquare" w:eastAsia="NanumSquare"/>
          <w:color w:val="737373"/>
          <w:sz w:val="18"/>
        </w:rPr>
        <w:t>본 문서는 과제 작성 방향을 제시하기 위한 참고자료입니다.</w:t>
      </w:r>
    </w:p>
    <w:sectPr w:rsidR="00FC693F" w:rsidRPr="0006063C" w:rsidSect="00034616">
      <w:footerReference w:type="default" r:id="rId9"/>
      <w:pgSz w:w="12240" w:h="15840"/>
      <w:pgMar w:top="1181" w:right="1267" w:bottom="1123" w:left="1267"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Square" w:hAnsi="NanumSquare" w:eastAsia="NanumSquare"/>
        <w:color w:val="646464"/>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9" w:lineRule="auto" w:after="100"/>
    </w:pPr>
    <w:rPr>
      <w:rFonts w:ascii="NanumSquare" w:hAnsi="NanumSquare" w:eastAsia="NanumSquare"/>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NanumSquare" w:hAnsi="NanumSquare" w:eastAsia="NanumSquare"/>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NanumSquare" w:hAnsi="NanumSquare" w:eastAsia="NanumSquare"/>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마케팅원론 과제 참고용 샘플</dc:title>
  <dc:subject>전기차와 IT기업의 자동차산업 진입과 경쟁우위 분석</dc:subject>
  <dc:creator>국민원격교육관리센터</dc:creator>
  <cp:keywords>마케팅원론, 경쟁, 경쟁우위, 전기차, IT기업</cp:keywords>
  <dc:description>generated by python-docx</dc:description>
  <cp:lastModifiedBy/>
  <cp:revision>1</cp:revision>
  <dcterms:created xsi:type="dcterms:W3CDTF">2013-12-23T23:15:00Z</dcterms:created>
  <dcterms:modified xsi:type="dcterms:W3CDTF">2013-12-23T23:15:00Z</dcterms:modified>
  <cp:category/>
</cp:coreProperties>
</file>