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60" w:after="400"/>
        <w:ind w:firstLine="0"/>
        <w:jc w:val="center"/>
      </w:pPr>
      <w:r>
        <w:rPr>
          <w:rFonts w:ascii="Noto Sans CJK KR" w:hAnsi="Noto Sans CJK KR" w:eastAsia="Noto Sans CJK KR"/>
          <w:b w:val="0"/>
          <w:color w:val="7F8C8D"/>
          <w:sz w:val="22"/>
        </w:rPr>
        <w:t>학점은행제 과제 참고용 샘플</w:t>
      </w:r>
    </w:p>
    <w:p>
      <w:pPr>
        <w:spacing w:before="0" w:after="360"/>
        <w:ind w:firstLine="0"/>
        <w:jc w:val="center"/>
      </w:pPr>
      <w:r>
        <w:rPr>
          <w:rFonts w:ascii="Noto Sans CJK KR" w:hAnsi="Noto Sans CJK KR" w:eastAsia="Noto Sans CJK KR"/>
          <w:b/>
          <w:color w:val="17365D"/>
          <w:sz w:val="38"/>
        </w:rPr>
        <w:t>대학도서관운영론</w:t>
      </w:r>
    </w:p>
    <w:p>
      <w:pPr>
        <w:spacing w:before="0" w:after="480"/>
        <w:ind w:firstLine="0"/>
        <w:jc w:val="center"/>
      </w:pPr>
      <w:r>
        <w:rPr>
          <w:rFonts w:ascii="Noto Sans CJK KR" w:hAnsi="Noto Sans CJK KR" w:eastAsia="Noto Sans CJK KR"/>
          <w:b/>
          <w:color w:val="1F4E79"/>
          <w:sz w:val="40"/>
        </w:rPr>
        <w:t>대학도서관 팀제 조직개편의 문제점과 대응방안</w:t>
      </w:r>
    </w:p>
    <w:tbl>
      <w:tblPr>
        <w:tblW w:type="auto" w:w="0"/>
        <w:jc w:val="center"/>
        <w:tblLayout w:type="fixed"/>
        <w:tblLook w:firstColumn="1" w:firstRow="1" w:lastColumn="0" w:lastRow="0" w:noHBand="0" w:noVBand="1" w:val="04A0"/>
      </w:tblPr>
      <w:tblGrid>
        <w:gridCol w:w="1584"/>
        <w:gridCol w:w="5472"/>
      </w:tblGrid>
      <w:tr>
        <w:tc>
          <w:tcPr>
            <w:tcW w:type="dxa" w:w="4824"/>
            <w:vAlign w:val="center"/>
            <w:shd w:fill="D9EAF7"/>
          </w:tcPr>
          <w:p>
            <w:pPr>
              <w:spacing w:after="0"/>
              <w:ind w:firstLine="0"/>
              <w:jc w:val="center"/>
            </w:pPr>
            <w:r>
              <w:rPr>
                <w:rFonts w:ascii="Noto Sans CJK KR" w:hAnsi="Noto Sans CJK KR" w:eastAsia="Noto Sans CJK KR"/>
                <w:sz w:val="21"/>
              </w:rPr>
              <w:t>제출일</w:t>
            </w:r>
          </w:p>
        </w:tc>
        <w:tc>
          <w:tcPr>
            <w:tcW w:type="dxa" w:w="4824"/>
            <w:vAlign w:val="center"/>
          </w:tcPr>
          <w:p>
            <w:pPr>
              <w:spacing w:after="0"/>
              <w:ind w:firstLine="0"/>
              <w:jc w:val="center"/>
            </w:pPr>
            <w:r>
              <w:rPr>
                <w:rFonts w:ascii="Noto Sans CJK KR" w:hAnsi="Noto Sans CJK KR" w:eastAsia="Noto Sans CJK KR"/>
                <w:sz w:val="21"/>
              </w:rPr>
              <w:t xml:space="preserve">                              </w:t>
            </w:r>
          </w:p>
        </w:tc>
      </w:tr>
      <w:tr>
        <w:tc>
          <w:tcPr>
            <w:tcW w:type="dxa" w:w="4824"/>
            <w:vAlign w:val="center"/>
            <w:shd w:fill="D9EAF7"/>
          </w:tcPr>
          <w:p>
            <w:pPr>
              <w:spacing w:after="0"/>
              <w:ind w:firstLine="0"/>
              <w:jc w:val="center"/>
            </w:pPr>
            <w:r>
              <w:rPr>
                <w:rFonts w:ascii="Noto Sans CJK KR" w:hAnsi="Noto Sans CJK KR" w:eastAsia="Noto Sans CJK KR"/>
                <w:sz w:val="21"/>
              </w:rPr>
              <w:t>제출자</w:t>
            </w:r>
          </w:p>
        </w:tc>
        <w:tc>
          <w:tcPr>
            <w:tcW w:type="dxa" w:w="4824"/>
            <w:vAlign w:val="center"/>
          </w:tcPr>
          <w:p>
            <w:pPr>
              <w:spacing w:after="0"/>
              <w:ind w:firstLine="0"/>
              <w:jc w:val="center"/>
            </w:pPr>
            <w:r>
              <w:rPr>
                <w:rFonts w:ascii="Noto Sans CJK KR" w:hAnsi="Noto Sans CJK KR" w:eastAsia="Noto Sans CJK KR"/>
                <w:sz w:val="21"/>
              </w:rPr>
              <w:t xml:space="preserve">                              </w:t>
            </w:r>
          </w:p>
        </w:tc>
      </w:tr>
    </w:tbl>
    <w:p>
      <w:pPr>
        <w:spacing w:before="480" w:after="160"/>
        <w:ind w:firstLine="0"/>
        <w:jc w:val="center"/>
      </w:pPr>
      <w:r>
        <w:rPr>
          <w:rFonts w:ascii="Noto Sans CJK KR" w:hAnsi="Noto Sans CJK KR" w:eastAsia="Noto Sans CJK KR"/>
          <w:b/>
          <w:color w:val="17365D"/>
          <w:sz w:val="28"/>
        </w:rPr>
        <w:t>목 차</w:t>
      </w:r>
    </w:p>
    <w:p>
      <w:pPr>
        <w:spacing w:after="60"/>
        <w:ind w:left="1944" w:firstLine="0"/>
        <w:jc w:val="left"/>
      </w:pPr>
      <w:r>
        <w:rPr>
          <w:rFonts w:ascii="Noto Sans CJK KR" w:hAnsi="Noto Sans CJK KR" w:eastAsia="Noto Sans CJK KR"/>
          <w:sz w:val="21"/>
        </w:rPr>
        <w:t>Ⅰ. 서론</w:t>
      </w:r>
    </w:p>
    <w:p>
      <w:pPr>
        <w:spacing w:after="60"/>
        <w:ind w:left="1944" w:firstLine="0"/>
        <w:jc w:val="left"/>
      </w:pPr>
      <w:r>
        <w:rPr>
          <w:rFonts w:ascii="Noto Sans CJK KR" w:hAnsi="Noto Sans CJK KR" w:eastAsia="Noto Sans CJK KR"/>
          <w:sz w:val="21"/>
        </w:rPr>
        <w:t>Ⅱ. 본론</w:t>
      </w:r>
    </w:p>
    <w:p>
      <w:pPr>
        <w:spacing w:after="60"/>
        <w:ind w:left="1944" w:firstLine="0"/>
        <w:jc w:val="left"/>
      </w:pPr>
      <w:r>
        <w:rPr>
          <w:rFonts w:ascii="Noto Sans CJK KR" w:hAnsi="Noto Sans CJK KR" w:eastAsia="Noto Sans CJK KR"/>
          <w:sz w:val="21"/>
        </w:rPr>
        <w:t xml:space="preserve">   1. 대학도서관 조직환경과 팀제 도입의 의미</w:t>
      </w:r>
    </w:p>
    <w:p>
      <w:pPr>
        <w:spacing w:after="60"/>
        <w:ind w:left="1944" w:firstLine="0"/>
        <w:jc w:val="left"/>
      </w:pPr>
      <w:r>
        <w:rPr>
          <w:rFonts w:ascii="Noto Sans CJK KR" w:hAnsi="Noto Sans CJK KR" w:eastAsia="Noto Sans CJK KR"/>
          <w:sz w:val="21"/>
        </w:rPr>
        <w:t xml:space="preserve">   2. 팀제 조직개편의 주요 문제점</w:t>
      </w:r>
    </w:p>
    <w:p>
      <w:pPr>
        <w:spacing w:after="60"/>
        <w:ind w:left="1944" w:firstLine="0"/>
        <w:jc w:val="left"/>
      </w:pPr>
      <w:r>
        <w:rPr>
          <w:rFonts w:ascii="Noto Sans CJK KR" w:hAnsi="Noto Sans CJK KR" w:eastAsia="Noto Sans CJK KR"/>
          <w:sz w:val="21"/>
        </w:rPr>
        <w:t xml:space="preserve">   3. 팀제 조직개편에 대한 대응방안</w:t>
      </w:r>
    </w:p>
    <w:p>
      <w:pPr>
        <w:spacing w:after="60"/>
        <w:ind w:left="1944" w:firstLine="0"/>
        <w:jc w:val="left"/>
      </w:pPr>
      <w:r>
        <w:rPr>
          <w:rFonts w:ascii="Noto Sans CJK KR" w:hAnsi="Noto Sans CJK KR" w:eastAsia="Noto Sans CJK KR"/>
          <w:sz w:val="21"/>
        </w:rPr>
        <w:t xml:space="preserve">   4. 효과적인 팀제 정착을 위한 운영 원칙</w:t>
      </w:r>
    </w:p>
    <w:p>
      <w:pPr>
        <w:spacing w:after="60"/>
        <w:ind w:left="1944" w:firstLine="0"/>
        <w:jc w:val="left"/>
      </w:pPr>
      <w:r>
        <w:rPr>
          <w:rFonts w:ascii="Noto Sans CJK KR" w:hAnsi="Noto Sans CJK KR" w:eastAsia="Noto Sans CJK KR"/>
          <w:sz w:val="21"/>
        </w:rPr>
        <w:t>Ⅲ. 결론</w:t>
      </w:r>
    </w:p>
    <w:p>
      <w:pPr>
        <w:spacing w:after="60"/>
        <w:ind w:left="1944" w:firstLine="0"/>
        <w:jc w:val="left"/>
      </w:pPr>
      <w:r>
        <w:rPr>
          <w:rFonts w:ascii="Noto Sans CJK KR" w:hAnsi="Noto Sans CJK KR" w:eastAsia="Noto Sans CJK KR"/>
          <w:sz w:val="21"/>
        </w:rPr>
        <w:t>참고문헌</w:t>
      </w:r>
    </w:p>
    <w:p>
      <w:r>
        <w:br w:type="page"/>
      </w:r>
    </w:p>
    <w:p>
      <w:pPr>
        <w:pStyle w:val="Heading1"/>
      </w:pPr>
      <w:r>
        <w:t>Ⅰ. 서론</w:t>
      </w:r>
    </w:p>
    <w:p>
      <w:pPr>
        <w:jc w:val="both"/>
      </w:pPr>
      <w:r>
        <w:t>대학도서관은 대학의 교육과 연구를 지원하는 핵심 학술정보기관으로서, 전통적으로 자료의 수집·정리·보존·대출과 같은 기능별 업무를 중심으로 조직되어 왔다. 그러나 전자자료와 학술데이터베이스의 확대, 원격교육의 증가, 연구데이터 관리와 오픈액세스 지원, 이용자 맞춤형 정보서비스 등 업무 영역이 복합화되면서 과거의 경직된 계층제만으로는 변화에 신속하게 대응하기 어렵다는 문제가 제기되었다. 이러한 환경에서 많은 대학도서관은 의사결정 단계를 줄이고 구성원의 전문성과 자율성을 활용하기 위한 대안으로 팀제 조직을 도입하거나 기존 부서 체계를 팀 단위로 재편해 왔다.</w:t>
      </w:r>
    </w:p>
    <w:p>
      <w:pPr>
        <w:jc w:val="both"/>
      </w:pPr>
      <w:r>
        <w:t>팀제는 공동 목표를 중심으로 구성원에게 일정한 권한과 책임을 부여하고, 기능 간 경계를 유연하게 하여 문제 해결과 성과 창출을 촉진하는 조직방식이다. 대학도서관에서는 수서·정리·열람·참고봉사처럼 분절된 기능을 통합하거나, 이용자서비스팀·학술정보지원팀·디지털서비스팀 등 서비스 목적 중심으로 재구성하는 방식으로 나타날 수 있다. 선행연구에서는 팀제가 환경 적응성과 직무만족, 팀 분위기, 비용 절감 등에 긍정적 영향을 줄 가능성이 있으나, 도입 과정과 리더십, 의사소통, 조직 구성원의 수용 정도가 실제 성과를 좌우한다고 지적하였다(윤혜영, 2004a; 정재영, 2007).</w:t>
      </w:r>
    </w:p>
    <w:p>
      <w:pPr>
        <w:jc w:val="both"/>
      </w:pPr>
      <w:r>
        <w:t>따라서 대학도서관의 팀제 조직개편은 단순히 조직도에서 ‘과’나 ‘계’를 ‘팀’으로 바꾸는 행정적 조치로 이해해서는 안 된다. 오히려 업무 프로세스, 권한 배분, 인사평가, 전문성 개발, 조직문화까지 함께 변화시키는 조직개발 과정으로 접근해야 한다. 본 과제에서는 먼저 대학도서관에서 팀제가 요구되는 배경과 특징을 살펴보고, 실제 운영 과정에서 발생할 수 있는 주요 문제점을 분석한 다음, 이를 완화하고 팀제의 장점을 실질적으로 구현하기 위한 대응방안을 제시하고자 한다.</w:t>
      </w:r>
    </w:p>
    <w:p>
      <w:pPr>
        <w:pStyle w:val="Heading1"/>
      </w:pPr>
      <w:r>
        <w:t>Ⅱ. 본론</w:t>
      </w:r>
    </w:p>
    <w:p>
      <w:pPr>
        <w:pStyle w:val="Heading2"/>
      </w:pPr>
      <w:r>
        <w:t>1. 대학도서관 조직환경과 팀제 도입의 의미</w:t>
      </w:r>
    </w:p>
    <w:p>
      <w:pPr>
        <w:jc w:val="both"/>
      </w:pPr>
      <w:r>
        <w:t>대학도서관 조직은 대학의 교육·연구 환경과 정보기술의 변화에 직접적인 영향을 받는다. 인쇄자료 중심의 환경에서는 자료의 입수와 정리, 보존, 대출 같은 업무가 비교적 명확히 구분될 수 있었으나, 오늘날에는 전자저널 구독과 라이선스 관리, 기관 리포지터리 운영, 연구성과 관리, 데이터 큐레이션, 학술정보교육, 온라인 참고서비스 등 여러 업무가 서로 연결되어 있다. 이처럼 복합적인 업무는 특정 부서만으로 해결하기 어렵고, 여러 전문성을 가진 인력이 함께 문제를 해결하는 협업 구조를 요구한다.</w:t>
      </w:r>
    </w:p>
    <w:p>
      <w:pPr>
        <w:jc w:val="both"/>
      </w:pPr>
      <w:r>
        <w:t>오동근(1999)은 대학도서관의 조직대안으로서 팀제 조직의 가능성을 검토하였고, 이후 윤혜영(2004a, 2004b)과 정재영(2007)의 연구에서도 국내 대학도서관 팀제의 운영과 효과가 분석되었다. 이들 연구를 종합하면 팀제의 핵심은 조직 계층을 축소하는 것 자체가 아니라, 구성원에게 실질적 재량권을 부여하고 자유로운 의사소통과 공동 책임을 가능하게 하는 데 있다. 즉 팀제는 ‘수평적 명칭’보다 ‘수평적 운영방식’이 중요하다.</w:t>
      </w:r>
    </w:p>
    <w:p>
      <w:pPr>
        <w:jc w:val="both"/>
      </w:pPr>
      <w:r>
        <w:t>또한 「대학도서관진흥법」은 대학도서관의 교육·연구 지원, 자료 수집·관리와 서비스 제공 등 대학도서관의 기능을 제도적으로 규정하고 있으며, 대학도서관 발전계획과 실태조사에는 시설·인력·자료·운영 현황 등이 포함된다. 이는 조직개편 역시 대학도서관의 교육·연구 지원 능력을 높이는 방향으로 설계되어야 함을 의미한다. 조직의 형태가 아무리 유연해도 충분한 전문인력과 예산, 업무 기반이 뒷받침되지 않으면 실질적인 서비스 혁신으로 이어지기 어렵다.</w:t>
      </w:r>
    </w:p>
    <w:p>
      <w:pPr>
        <w:ind w:firstLine="0"/>
      </w:pPr>
      <w:r>
        <w:rPr>
          <w:b/>
          <w:color w:val="44546A"/>
          <w:sz w:val="21"/>
        </w:rPr>
        <w:t>표 1. 기능별 조직과 팀제 조직의 일반적 비교</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AF7"/>
            <w:vAlign w:val="center"/>
          </w:tcPr>
          <w:p>
            <w:pPr>
              <w:spacing w:after="0" w:line="288" w:lineRule="auto"/>
              <w:ind w:firstLine="0"/>
            </w:pPr>
            <w:r>
              <w:rPr>
                <w:rFonts w:ascii="Noto Sans CJK KR" w:hAnsi="Noto Sans CJK KR" w:eastAsia="Noto Sans CJK KR"/>
                <w:sz w:val="18"/>
              </w:rPr>
              <w:t>구분</w:t>
            </w:r>
          </w:p>
        </w:tc>
        <w:tc>
          <w:tcPr>
            <w:tcW w:type="dxa" w:w="3216"/>
            <w:shd w:fill="D9EAF7"/>
            <w:vAlign w:val="center"/>
          </w:tcPr>
          <w:p>
            <w:pPr>
              <w:spacing w:after="0" w:line="288" w:lineRule="auto"/>
              <w:ind w:firstLine="0"/>
            </w:pPr>
            <w:r>
              <w:rPr>
                <w:rFonts w:ascii="Noto Sans CJK KR" w:hAnsi="Noto Sans CJK KR" w:eastAsia="Noto Sans CJK KR"/>
                <w:sz w:val="18"/>
              </w:rPr>
              <w:t>기능별 조직</w:t>
            </w:r>
          </w:p>
        </w:tc>
        <w:tc>
          <w:tcPr>
            <w:tcW w:type="dxa" w:w="3216"/>
            <w:shd w:fill="D9EAF7"/>
            <w:vAlign w:val="center"/>
          </w:tcPr>
          <w:p>
            <w:pPr>
              <w:spacing w:after="0" w:line="288" w:lineRule="auto"/>
              <w:ind w:firstLine="0"/>
            </w:pPr>
            <w:r>
              <w:rPr>
                <w:rFonts w:ascii="Noto Sans CJK KR" w:hAnsi="Noto Sans CJK KR" w:eastAsia="Noto Sans CJK KR"/>
                <w:sz w:val="18"/>
              </w:rPr>
              <w:t>팀제 조직</w:t>
            </w:r>
          </w:p>
        </w:tc>
      </w:tr>
      <w:tr>
        <w:tc>
          <w:tcPr>
            <w:tcW w:type="dxa" w:w="3216"/>
            <w:vAlign w:val="center"/>
          </w:tcPr>
          <w:p>
            <w:pPr>
              <w:spacing w:after="0" w:line="288" w:lineRule="auto"/>
              <w:ind w:firstLine="0"/>
            </w:pPr>
            <w:r>
              <w:rPr>
                <w:rFonts w:ascii="Noto Sans CJK KR" w:hAnsi="Noto Sans CJK KR" w:eastAsia="Noto Sans CJK KR"/>
                <w:sz w:val="18"/>
              </w:rPr>
              <w:t>업무 기준</w:t>
            </w:r>
          </w:p>
        </w:tc>
        <w:tc>
          <w:tcPr>
            <w:tcW w:type="dxa" w:w="3216"/>
            <w:vAlign w:val="center"/>
          </w:tcPr>
          <w:p>
            <w:pPr>
              <w:spacing w:after="0" w:line="288" w:lineRule="auto"/>
              <w:ind w:firstLine="0"/>
            </w:pPr>
            <w:r>
              <w:rPr>
                <w:rFonts w:ascii="Noto Sans CJK KR" w:hAnsi="Noto Sans CJK KR" w:eastAsia="Noto Sans CJK KR"/>
                <w:sz w:val="18"/>
              </w:rPr>
              <w:t>수서·정리·열람 등 기능 중심</w:t>
            </w:r>
          </w:p>
        </w:tc>
        <w:tc>
          <w:tcPr>
            <w:tcW w:type="dxa" w:w="3216"/>
            <w:vAlign w:val="center"/>
          </w:tcPr>
          <w:p>
            <w:pPr>
              <w:spacing w:after="0" w:line="288" w:lineRule="auto"/>
              <w:ind w:firstLine="0"/>
            </w:pPr>
            <w:r>
              <w:rPr>
                <w:rFonts w:ascii="Noto Sans CJK KR" w:hAnsi="Noto Sans CJK KR" w:eastAsia="Noto Sans CJK KR"/>
                <w:sz w:val="18"/>
              </w:rPr>
              <w:t>서비스·과제·목표 중심</w:t>
            </w:r>
          </w:p>
        </w:tc>
      </w:tr>
      <w:tr>
        <w:tc>
          <w:tcPr>
            <w:tcW w:type="dxa" w:w="3216"/>
            <w:vAlign w:val="center"/>
          </w:tcPr>
          <w:p>
            <w:pPr>
              <w:spacing w:after="0" w:line="288" w:lineRule="auto"/>
              <w:ind w:firstLine="0"/>
            </w:pPr>
            <w:r>
              <w:rPr>
                <w:rFonts w:ascii="Noto Sans CJK KR" w:hAnsi="Noto Sans CJK KR" w:eastAsia="Noto Sans CJK KR"/>
                <w:sz w:val="18"/>
              </w:rPr>
              <w:t>권한 구조</w:t>
            </w:r>
          </w:p>
        </w:tc>
        <w:tc>
          <w:tcPr>
            <w:tcW w:type="dxa" w:w="3216"/>
            <w:vAlign w:val="center"/>
          </w:tcPr>
          <w:p>
            <w:pPr>
              <w:spacing w:after="0" w:line="288" w:lineRule="auto"/>
              <w:ind w:firstLine="0"/>
            </w:pPr>
            <w:r>
              <w:rPr>
                <w:rFonts w:ascii="Noto Sans CJK KR" w:hAnsi="Noto Sans CJK KR" w:eastAsia="Noto Sans CJK KR"/>
                <w:sz w:val="18"/>
              </w:rPr>
              <w:t>상급자 중심의 단계적 의사결정</w:t>
            </w:r>
          </w:p>
        </w:tc>
        <w:tc>
          <w:tcPr>
            <w:tcW w:type="dxa" w:w="3216"/>
            <w:vAlign w:val="center"/>
          </w:tcPr>
          <w:p>
            <w:pPr>
              <w:spacing w:after="0" w:line="288" w:lineRule="auto"/>
              <w:ind w:firstLine="0"/>
            </w:pPr>
            <w:r>
              <w:rPr>
                <w:rFonts w:ascii="Noto Sans CJK KR" w:hAnsi="Noto Sans CJK KR" w:eastAsia="Noto Sans CJK KR"/>
                <w:sz w:val="18"/>
              </w:rPr>
              <w:t>팀 단위 권한 위임 및 공동책임</w:t>
            </w:r>
          </w:p>
        </w:tc>
      </w:tr>
      <w:tr>
        <w:tc>
          <w:tcPr>
            <w:tcW w:type="dxa" w:w="3216"/>
            <w:vAlign w:val="center"/>
          </w:tcPr>
          <w:p>
            <w:pPr>
              <w:spacing w:after="0" w:line="288" w:lineRule="auto"/>
              <w:ind w:firstLine="0"/>
            </w:pPr>
            <w:r>
              <w:rPr>
                <w:rFonts w:ascii="Noto Sans CJK KR" w:hAnsi="Noto Sans CJK KR" w:eastAsia="Noto Sans CJK KR"/>
                <w:sz w:val="18"/>
              </w:rPr>
              <w:t>협업 방식</w:t>
            </w:r>
          </w:p>
        </w:tc>
        <w:tc>
          <w:tcPr>
            <w:tcW w:type="dxa" w:w="3216"/>
            <w:vAlign w:val="center"/>
          </w:tcPr>
          <w:p>
            <w:pPr>
              <w:spacing w:after="0" w:line="288" w:lineRule="auto"/>
              <w:ind w:firstLine="0"/>
            </w:pPr>
            <w:r>
              <w:rPr>
                <w:rFonts w:ascii="Noto Sans CJK KR" w:hAnsi="Noto Sans CJK KR" w:eastAsia="Noto Sans CJK KR"/>
                <w:sz w:val="18"/>
              </w:rPr>
              <w:t>부서 간 조정 절차가 상대적으로 많음</w:t>
            </w:r>
          </w:p>
        </w:tc>
        <w:tc>
          <w:tcPr>
            <w:tcW w:type="dxa" w:w="3216"/>
            <w:vAlign w:val="center"/>
          </w:tcPr>
          <w:p>
            <w:pPr>
              <w:spacing w:after="0" w:line="288" w:lineRule="auto"/>
              <w:ind w:firstLine="0"/>
            </w:pPr>
            <w:r>
              <w:rPr>
                <w:rFonts w:ascii="Noto Sans CJK KR" w:hAnsi="Noto Sans CJK KR" w:eastAsia="Noto Sans CJK KR"/>
                <w:sz w:val="18"/>
              </w:rPr>
              <w:t>팀 내부 또는 프로젝트 단위 협업 강화</w:t>
            </w:r>
          </w:p>
        </w:tc>
      </w:tr>
      <w:tr>
        <w:tc>
          <w:tcPr>
            <w:tcW w:type="dxa" w:w="3216"/>
            <w:vAlign w:val="center"/>
          </w:tcPr>
          <w:p>
            <w:pPr>
              <w:spacing w:after="0" w:line="288" w:lineRule="auto"/>
              <w:ind w:firstLine="0"/>
            </w:pPr>
            <w:r>
              <w:rPr>
                <w:rFonts w:ascii="Noto Sans CJK KR" w:hAnsi="Noto Sans CJK KR" w:eastAsia="Noto Sans CJK KR"/>
                <w:sz w:val="18"/>
              </w:rPr>
              <w:t>주요 위험</w:t>
            </w:r>
          </w:p>
        </w:tc>
        <w:tc>
          <w:tcPr>
            <w:tcW w:type="dxa" w:w="3216"/>
            <w:vAlign w:val="center"/>
          </w:tcPr>
          <w:p>
            <w:pPr>
              <w:spacing w:after="0" w:line="288" w:lineRule="auto"/>
              <w:ind w:firstLine="0"/>
            </w:pPr>
            <w:r>
              <w:rPr>
                <w:rFonts w:ascii="Noto Sans CJK KR" w:hAnsi="Noto Sans CJK KR" w:eastAsia="Noto Sans CJK KR"/>
                <w:sz w:val="18"/>
              </w:rPr>
              <w:t>부서 이기주의, 경직성</w:t>
            </w:r>
          </w:p>
        </w:tc>
        <w:tc>
          <w:tcPr>
            <w:tcW w:type="dxa" w:w="3216"/>
            <w:vAlign w:val="center"/>
          </w:tcPr>
          <w:p>
            <w:pPr>
              <w:spacing w:after="0" w:line="288" w:lineRule="auto"/>
              <w:ind w:firstLine="0"/>
            </w:pPr>
            <w:r>
              <w:rPr>
                <w:rFonts w:ascii="Noto Sans CJK KR" w:hAnsi="Noto Sans CJK KR" w:eastAsia="Noto Sans CJK KR"/>
                <w:sz w:val="18"/>
              </w:rPr>
              <w:t>역할 모호성, 책임 분산, 갈등 가능성</w:t>
            </w:r>
          </w:p>
        </w:tc>
      </w:tr>
    </w:tbl>
    <w:p>
      <w:pPr>
        <w:pStyle w:val="Heading2"/>
      </w:pPr>
      <w:r>
        <w:t>2. 팀제 조직개편의 주요 문제점</w:t>
      </w:r>
    </w:p>
    <w:p>
      <w:pPr>
        <w:pStyle w:val="Heading3"/>
      </w:pPr>
      <w:r>
        <w:t>2.1 형식적 팀제와 권한 위임의 부족</w:t>
      </w:r>
    </w:p>
    <w:p>
      <w:pPr>
        <w:jc w:val="both"/>
      </w:pPr>
      <w:r>
        <w:t>첫 번째 문제는 조직 명칭만 팀제로 바뀌고 실제 의사결정 구조는 기존의 계층제를 그대로 유지하는 형식적 팀제이다. 팀장은 성과 책임을 부담하지만 예산 집행, 인사 배치, 서비스 변경 등의 권한은 상위 관리자에게 집중되어 있다면 팀원은 자율적으로 업무를 조정하기 어렵다. 이 경우 구성원은 책임은 늘었지만 권한은 줄었다고 인식할 수 있으며, 결과적으로 팀제에 대한 불신이 커질 수 있다. 특히 대학 전체의 조직개편에 따라 도서관이 일괄적으로 팀제로 전환된 경우, 도서관 업무의 특성과 필요를 충분히 반영하지 못할 가능성이 있다.</w:t>
      </w:r>
    </w:p>
    <w:p>
      <w:pPr>
        <w:pStyle w:val="Heading3"/>
      </w:pPr>
      <w:r>
        <w:t>2.2 역할과 업무분장의 모호성</w:t>
      </w:r>
    </w:p>
    <w:p>
      <w:pPr>
        <w:jc w:val="both"/>
      </w:pPr>
      <w:r>
        <w:t>두 번째 문제는 기존 기능별 부서의 경계가 사라지면서 업무 소유권이 불분명해지는 것이다. 예를 들어 전자자료 이용교육, 연구성과 등록, 학과별 학술정보서비스처럼 수서·정리·참고봉사의 요소가 동시에 필요한 업무는 여러 팀이 관여할 수 있다. 이때 책임 부서와 협력 부서가 명확하지 않으면 동일 업무가 중복되거나 반대로 아무도 담당하지 않는 공백이 발생한다. 팀제의 유연성이 업무분장의 불명확성으로 변질되면 효율성은 오히려 낮아질 수 있다.</w:t>
      </w:r>
    </w:p>
    <w:p>
      <w:pPr>
        <w:pStyle w:val="Heading3"/>
      </w:pPr>
      <w:r>
        <w:t>2.3 팀장 리더십과 중간관리자의 역할 혼란</w:t>
      </w:r>
    </w:p>
    <w:p>
      <w:pPr>
        <w:jc w:val="both"/>
      </w:pPr>
      <w:r>
        <w:t>세 번째 문제는 팀장에게 요구되는 역할이 기존의 계장·과장과 다르다는 점에서 발생한다. 팀제에서 팀장은 단순한 지시·감독자가 아니라 목표 설정자, 조정자, 코치, 갈등관리자의 역할을 수행해야 한다. 그러나 과거의 위계적 리더십 방식에 익숙한 관리자가 팀장을 맡을 경우 업무를 세부적으로 통제하거나 정보와 권한을 독점할 수 있다. 반대로 권한 위임을 지나치게 강조하여 팀원이 각자 업무를 수행하도록 방치하면 공동 목표가 약화될 수 있다. 윤혜영(2004b)은 도입 과정과 도서관장의 의지, 의사소통 등이 팀 효과성에 영향을 미친다고 분석하여 리더십과 운영방식의 중요성을 보여 주었다.</w:t>
      </w:r>
    </w:p>
    <w:p>
      <w:pPr>
        <w:pStyle w:val="Heading3"/>
      </w:pPr>
      <w:r>
        <w:t>2.4 의사소통 비용 증가와 팀 간 갈등</w:t>
      </w:r>
    </w:p>
    <w:p>
      <w:pPr>
        <w:jc w:val="both"/>
      </w:pPr>
      <w:r>
        <w:t>팀제는 수평적 의사소통을 활성화할 수 있지만, 협업해야 할 사안이 많아지면 회의와 조정에 필요한 시간도 증가한다. 특히 팀별 성과지표가 별도로 설정되어 있으면 각 팀이 자신의 성과를 우선하면서 정보 공유를 꺼리거나 책임을 다른 팀에 전가하는 현상이 나타날 수 있다. 이용자 입장에서는 하나의 서비스로 보이는 업무가 내부적으로 여러 팀에 나뉘어 처리될 경우 서비스 지연이나 안내의 불일치가 발생할 수 있다. 따라서 팀 내부의 협업뿐 아니라 팀 간 협력 규칙과 공동 성과지표가 필요하다.</w:t>
      </w:r>
    </w:p>
    <w:p>
      <w:pPr>
        <w:pStyle w:val="Heading3"/>
      </w:pPr>
      <w:r>
        <w:t>2.5 전문성 약화와 순환배치의 부작용</w:t>
      </w:r>
    </w:p>
    <w:p>
      <w:pPr>
        <w:jc w:val="both"/>
      </w:pPr>
      <w:r>
        <w:t>대학도서관은 주제정보서비스, 전자자료 계약, 메타데이터, 시스템 운영 등 장기간의 경험과 전문지식이 필요한 업무가 많다. 팀제를 운영하면서 다기능 인력을 만들겠다는 이유로 지나치게 잦은 순환배치를 실시하면 전문성이 축적되기 어렵고, 업무 인수인계 비용도 커진다. 특히 소수 인력으로 운영되는 도서관은 한 명의 이동이 특정 업무의 연속성을 크게 저해할 수 있다. 팀제의 유연성을 ‘누구나 모든 업무를 할 수 있어야 한다’는 의미로 해석하는 것은 전문직 조직인 대학도서관의 특성과 맞지 않는다.</w:t>
      </w:r>
    </w:p>
    <w:p>
      <w:pPr>
        <w:pStyle w:val="Heading3"/>
      </w:pPr>
      <w:r>
        <w:t>2.6 성과평가의 불공정성과 책임소재 문제</w:t>
      </w:r>
    </w:p>
    <w:p>
      <w:pPr>
        <w:jc w:val="both"/>
      </w:pPr>
      <w:r>
        <w:t>팀 성과와 개인 성과를 어떻게 평가할 것인지도 중요한 문제이다. 팀 성과만 강조하면 개인별 기여 차이를 반영하기 어렵고 무임승차 문제가 발생할 수 있다. 반대로 개인 성과를 지나치게 강조하면 협업보다 자신의 실적을 우선하게 된다. 또한 대출 건수나 교육 횟수와 같은 단순한 양적 지표만 사용하면 이용자 만족, 연구지원의 질, 정보 접근성 개선처럼 장기적이고 질적인 성과가 저평가될 수 있다. 이러한 평가 구조는 팀제의 공동책임 원리를 약화시키고 구성원 간 경쟁과 갈등을 유발할 수 있다.</w:t>
      </w:r>
    </w:p>
    <w:p>
      <w:pPr>
        <w:pStyle w:val="Heading2"/>
      </w:pPr>
      <w:r>
        <w:t>3. 팀제 조직개편에 대한 대응방안</w:t>
      </w:r>
    </w:p>
    <w:p>
      <w:pPr>
        <w:pStyle w:val="Heading3"/>
      </w:pPr>
      <w:r>
        <w:t>3.1 도입 목적과 업무 프로세스의 사전 진단</w:t>
      </w:r>
    </w:p>
    <w:p>
      <w:pPr>
        <w:jc w:val="both"/>
      </w:pPr>
      <w:r>
        <w:t>가장 먼저 필요한 것은 조직개편의 목적을 명확히 하는 것이다. 인력 감축이나 관리계층 축소 자체가 목표가 되어서는 안 되며, 이용자 서비스의 개선, 의사결정 속도 향상, 디지털 업무 대응, 연구지원 강화 등 도서관이 해결해야 할 문제를 먼저 정의해야 한다. 이후 현재의 업무 흐름을 분석하여 중복 업무, 병목 구간, 부서 간 협업이 필요한 지점을 파악하고 이에 맞추어 팀을 설계해야 한다. 대학 전체의 획일적 조직 기준을 그대로 적용하기보다는 도서관의 규모, 인력구성, 장서와 전자자원, 이용자 특성, 대학의 교육·연구 전략을 고려한 상황적합적 설계가 필요하다.</w:t>
      </w:r>
    </w:p>
    <w:p>
      <w:pPr>
        <w:pStyle w:val="Heading3"/>
      </w:pPr>
      <w:r>
        <w:t>3.2 권한·책임·업무경계의 명문화</w:t>
      </w:r>
    </w:p>
    <w:p>
      <w:pPr>
        <w:jc w:val="both"/>
      </w:pPr>
      <w:r>
        <w:t>팀제의 안정적 운영을 위해서는 팀별 미션, 핵심업무, 의사결정 권한, 협업 대상, 성과지표를 문서로 명확히 해야 한다. 업무분장표는 단순한 업무 목록을 넘어서 최종 책임자와 협력자를 구분할 수 있도록 설계하는 것이 바람직하다. 예를 들어 연구데이터 관리 서비스의 경우 서비스 정책은 학술지원팀, 시스템 구축은 디지털서비스팀, 연구자 교육은 이용자서비스팀이 담당할 수 있지만, 최종 책임팀과 협력 절차를 미리 정해 놓아야 한다. 업무 매뉴얼과 협업 절차를 정기적으로 수정하면 인사 이동 시에도 서비스의 연속성을 유지할 수 있다.</w:t>
      </w:r>
    </w:p>
    <w:p>
      <w:pPr>
        <w:pStyle w:val="Heading3"/>
      </w:pPr>
      <w:r>
        <w:t>3.3 팀장과 팀원에 대한 교육훈련 강화</w:t>
      </w:r>
    </w:p>
    <w:p>
      <w:pPr>
        <w:jc w:val="both"/>
      </w:pPr>
      <w:r>
        <w:t>팀장은 목표관리, 코칭, 갈등조정, 회의 운영, 성과 피드백 등 팀 리더십 역량을 갖추어야 한다. 팀원 역시 자율성이 높아지는 만큼 자기관리, 협업, 문제 해결, 커뮤니케이션 능력을 개발해야 한다. 정재영(2007)의 연구에서는 커뮤니케이션 활성화와 팀제 수용능력이 팀제 유효성에 중요한 영향을 주는 요인으로 나타났다. 따라서 조직개편 직전에 단발성 설명회를 실시하는 수준을 넘어, 도입 전 교육과 시범운영, 도입 후 피드백 교육을 연속적으로 운영할 필요가 있다.</w:t>
      </w:r>
    </w:p>
    <w:p>
      <w:pPr>
        <w:pStyle w:val="Heading3"/>
      </w:pPr>
      <w:r>
        <w:t>3.4 수평적 의사소통과 교차협업 체계 구축</w:t>
      </w:r>
    </w:p>
    <w:p>
      <w:pPr>
        <w:jc w:val="both"/>
      </w:pPr>
      <w:r>
        <w:t>팀 간 장벽을 줄이기 위해 정례적인 팀장 회의뿐 아니라 실무자 중심의 프로젝트 협의체와 태스크포스를 운영할 수 있다. 예를 들어 신입생 정보활용교육, 기관 리포지터리 개편, AI 기반 검색서비스 도입과 같은 과제는 여러 팀의 역량이 함께 필요하므로 한시적 프로젝트팀을 구성하는 방식이 효과적이다. 이때 협업 도구를 활용하여 진행 상황, 의사결정 내용, 담당자, 기한을 공유하면 회의 의존도를 낮추고 정보 비대칭을 줄일 수 있다.</w:t>
      </w:r>
    </w:p>
    <w:p>
      <w:pPr>
        <w:pStyle w:val="Heading3"/>
      </w:pPr>
      <w:r>
        <w:t>3.5 전문성을 보존하는 인사·직무 설계</w:t>
      </w:r>
    </w:p>
    <w:p>
      <w:pPr>
        <w:jc w:val="both"/>
      </w:pPr>
      <w:r>
        <w:t>팀제에서도 전문직의 경력경로가 보장되어야 한다. 모든 직원을 동일하게 순환시키기보다 핵심 전문직무에는 일정 기간 이상 근무할 수 있도록 하고, 직무별 역량모델과 교육계획을 마련해야 한다. 주제전문사서, 전자자원 담당자, 메타데이터 전문가, 시스템 사서 등 전문 분야는 직무전문성을 축적하는 트랙을 제공하고, 필요한 경우 프로젝트 경험을 통해 다른 업무를 이해하도록 하는 방식이 더 적절하다. 이는 팀의 유연성과 전문성의 지속성을 동시에 확보하는 방법이다.</w:t>
      </w:r>
    </w:p>
    <w:p>
      <w:pPr>
        <w:pStyle w:val="Heading3"/>
      </w:pPr>
      <w:r>
        <w:t>3.6 팀 성과와 개인 성과를 결합한 평가체계</w:t>
      </w:r>
    </w:p>
    <w:p>
      <w:pPr>
        <w:jc w:val="both"/>
      </w:pPr>
      <w:r>
        <w:t>성과평가는 팀 단위 공동성과와 개인의 전문적 기여를 함께 반영해야 한다. 팀 공통지표로는 이용자 만족도, 서비스 처리시간, 교육·연구지원 효과, 협업 과제 달성도 등을 활용하고, 개인지표로는 담당 업무의 질, 전문성 개발, 개선 제안, 동료 협업 기여 등을 사용할 수 있다. 특히 성과지표는 단순 건수보다 서비스의 질과 대학의 교육·연구 목표에 미친 영향을 포함하도록 설계해야 한다. 평가 결과는 인사보상뿐 아니라 업무 개선과 교육 수요를 파악하는 피드백 자료로 활용하는 것이 바람직하다.</w:t>
      </w:r>
    </w:p>
    <w:p>
      <w:pPr>
        <w:pStyle w:val="Heading2"/>
      </w:pPr>
      <w:r>
        <w:t>4. 효과적인 팀제 정착을 위한 운영 원칙</w:t>
      </w:r>
    </w:p>
    <w:p>
      <w:pPr>
        <w:jc w:val="both"/>
      </w:pPr>
      <w:r>
        <w:t>대학도서관의 팀제가 안정적으로 정착하기 위해서는 첫째, 팀제 도입을 비용절감 수단이 아니라 서비스 혁신을 위한 조직개발로 인식해야 한다. 둘째, 조직개편 전에 충분한 설명과 구성원 참여를 보장하여 변화에 대한 저항을 줄여야 한다. 셋째, 팀장에게 실질적인 권한을 부여하되 도서관장은 팀 간 조정과 자원배분, 전략적 방향 설정을 책임져야 한다. 넷째, 조직구조를 한 번 확정한 뒤 고정하기보다 이용자 요구와 기술환경 변화에 따라 팀의 기능과 업무를 주기적으로 재검토해야 한다. 다섯째, 전문사서의 역량 개발을 위한 교육과 경력경로를 조직개편과 동시에 설계해야 한다.</w:t>
      </w:r>
    </w:p>
    <w:p>
      <w:pPr>
        <w:pStyle w:val="ListBullet"/>
        <w:spacing w:after="60" w:line="336" w:lineRule="auto"/>
        <w:ind w:left="360" w:hanging="180"/>
      </w:pPr>
      <w:r>
        <w:rPr>
          <w:rFonts w:ascii="Noto Sans CJK KR" w:hAnsi="Noto Sans CJK KR" w:eastAsia="Noto Sans CJK KR"/>
          <w:sz w:val="20"/>
        </w:rPr>
        <w:t>목적 중심성: 조직 명칭 변경이 아니라 이용자 서비스와 교육·연구 지원 성과를 기준으로 개편한다.</w:t>
      </w:r>
    </w:p>
    <w:p>
      <w:pPr>
        <w:pStyle w:val="ListBullet"/>
        <w:spacing w:after="60" w:line="336" w:lineRule="auto"/>
        <w:ind w:left="360" w:hanging="180"/>
      </w:pPr>
      <w:r>
        <w:rPr>
          <w:rFonts w:ascii="Noto Sans CJK KR" w:hAnsi="Noto Sans CJK KR" w:eastAsia="Noto Sans CJK KR"/>
          <w:sz w:val="20"/>
        </w:rPr>
        <w:t>권한과 책임의 균형: 책임을 부여한 만큼 필요한 의사결정 권한과 자원을 함께 제공한다.</w:t>
      </w:r>
    </w:p>
    <w:p>
      <w:pPr>
        <w:pStyle w:val="ListBullet"/>
        <w:spacing w:after="60" w:line="336" w:lineRule="auto"/>
        <w:ind w:left="360" w:hanging="180"/>
      </w:pPr>
      <w:r>
        <w:rPr>
          <w:rFonts w:ascii="Noto Sans CJK KR" w:hAnsi="Noto Sans CJK KR" w:eastAsia="Noto Sans CJK KR"/>
          <w:sz w:val="20"/>
        </w:rPr>
        <w:t>전문성과 협업의 조화: 전문직무의 연속성을 보장하면서 교차 프로젝트를 통해 협업 역량을 높인다.</w:t>
      </w:r>
    </w:p>
    <w:p>
      <w:pPr>
        <w:pStyle w:val="ListBullet"/>
        <w:spacing w:after="60" w:line="336" w:lineRule="auto"/>
        <w:ind w:left="360" w:hanging="180"/>
      </w:pPr>
      <w:r>
        <w:rPr>
          <w:rFonts w:ascii="Noto Sans CJK KR" w:hAnsi="Noto Sans CJK KR" w:eastAsia="Noto Sans CJK KR"/>
          <w:sz w:val="20"/>
        </w:rPr>
        <w:t>참여적 변화관리: 구성원 의견수렴, 시범운영, 사후평가를 통해 제도를 단계적으로 보완한다.</w:t>
      </w:r>
    </w:p>
    <w:p>
      <w:pPr>
        <w:pStyle w:val="ListBullet"/>
        <w:spacing w:after="60" w:line="336" w:lineRule="auto"/>
        <w:ind w:left="360" w:hanging="180"/>
      </w:pPr>
      <w:r>
        <w:rPr>
          <w:rFonts w:ascii="Noto Sans CJK KR" w:hAnsi="Noto Sans CJK KR" w:eastAsia="Noto Sans CJK KR"/>
          <w:sz w:val="20"/>
        </w:rPr>
        <w:t>지속적 평가와 개선: 조직개편 후 서비스 성과, 직무만족, 의사소통 수준을 정기적으로 점검한다.</w:t>
      </w:r>
    </w:p>
    <w:p>
      <w:pPr>
        <w:pStyle w:val="Heading1"/>
      </w:pPr>
      <w:r>
        <w:t>Ⅲ. 결론</w:t>
      </w:r>
    </w:p>
    <w:p>
      <w:pPr>
        <w:jc w:val="both"/>
      </w:pPr>
      <w:r>
        <w:t>대학도서관의 팀제 조직개편은 정보환경의 변화에 신속히 대응하고, 조직의 계층을 줄이며, 구성원의 전문성과 자율성을 활용하기 위한 유용한 대안이 될 수 있다. 그러나 팀제는 그 명칭 자체로 효과를 보장하지 않는다. 권한 위임이 없는 형식적 팀제, 역할과 책임의 모호성, 팀장 리더십 부족, 의사소통 비용 증가, 전문성 약화, 성과평가의 불공정성이 발생하면 오히려 기존 조직보다 더 큰 혼란과 갈등을 초래할 수 있다.</w:t>
      </w:r>
    </w:p>
    <w:p>
      <w:pPr>
        <w:jc w:val="both"/>
      </w:pPr>
      <w:r>
        <w:t>따라서 대학도서관은 팀제 도입 전 업무와 조직환경을 충분히 진단하고, 팀별 역할과 권한을 명확히 하며, 팀장과 팀원에 대한 교육을 체계적으로 제공해야 한다. 또한 전문직무의 경력 축적을 보장하는 인사체계를 마련하고, 팀 간 공동과제를 활성화하며, 팀 성과와 개인 기여를 균형 있게 평가해야 한다. 특히 도서관장의 변화 의지와 지속적인 지원, 구성원 간 자유로운 의사소통은 팀제가 실제 성과로 이어지는 핵심 조건이라 할 수 있다.</w:t>
      </w:r>
    </w:p>
    <w:p>
      <w:pPr>
        <w:jc w:val="both"/>
      </w:pPr>
      <w:r>
        <w:t>결국 바람직한 조직개편은 ‘팀제인가 아닌가’의 문제가 아니라 대학도서관의 목표와 이용자 요구에 가장 적합한 조직구조를 어떻게 설계하고 운영할 것인가의 문제이다. 대학의 규모와 특성, 도서관 인력과 전문성, 서비스 환경에 따라 기능별 조직과 팀제, 프로젝트 조직을 혼합하여 운용하는 유연한 접근도 고려할 수 있다. 이러한 관점에서 팀제를 지속적으로 점검하고 개선한다면 대학도서관은 변화하는 학술정보 환경 속에서 교육·연구 지원기관으로서의 역할을 더욱 효과적으로 수행할 수 있을 것이다.</w:t>
      </w:r>
    </w:p>
    <w:p>
      <w:r>
        <w:br w:type="page"/>
      </w:r>
    </w:p>
    <w:p>
      <w:pPr>
        <w:pStyle w:val="Heading1"/>
      </w:pPr>
      <w:r>
        <w:t>참고문헌</w:t>
      </w:r>
    </w:p>
    <w:p>
      <w:pPr>
        <w:pStyle w:val="Reference"/>
      </w:pPr>
      <w:r>
        <w:t>오동근. (1999). 대학도서관의 조직대안으로서의 팀제조직에 관한 연구. 한국도서관·정보학회지, 30(3), 345-363.</w:t>
      </w:r>
    </w:p>
    <w:p>
      <w:pPr>
        <w:pStyle w:val="Reference"/>
      </w:pPr>
      <w:r>
        <w:t>윤혜영. (2004a). 한국의 대학도서관 팀제의 문제점과 개선방안. 한국문헌정보학회지, 38(4), 5-24.</w:t>
      </w:r>
    </w:p>
    <w:p>
      <w:pPr>
        <w:pStyle w:val="Reference"/>
      </w:pPr>
      <w:r>
        <w:t>윤혜영. (2004b). 대학도서관 팀제 운영방식이 팀 효과성에 미치는 영향. 한국도서관·정보학회지, 35(4), 23-40.</w:t>
      </w:r>
    </w:p>
    <w:p>
      <w:pPr>
        <w:pStyle w:val="Reference"/>
      </w:pPr>
      <w:r>
        <w:t>정재영. (2007). 대학도서관 팀제의 유효성 평가에 관한 연구. 한국도서관·정보학회지, 38(2), 399-430.</w:t>
      </w:r>
    </w:p>
    <w:p>
      <w:pPr>
        <w:pStyle w:val="Reference"/>
      </w:pPr>
      <w:r>
        <w:t>정재영. (2004). 21세기 대학도서관의 주제별 자료실 조직모형 연구. 한국문헌정보학회지, 38(1), 173-197.</w:t>
      </w:r>
    </w:p>
    <w:p>
      <w:pPr>
        <w:pStyle w:val="Reference"/>
      </w:pPr>
      <w:r>
        <w:t>김홍렬, 조현양. (2014). 지방자치단체 도서관 행정조직의 분석적 연구. 한국도서관·정보학회지, 45(3), 349-369.</w:t>
      </w:r>
    </w:p>
    <w:p>
      <w:pPr>
        <w:pStyle w:val="Reference"/>
      </w:pPr>
      <w:r>
        <w:t>법제처 국가법령정보센터. 대학도서관진흥법(법률 제18547호) 및 대학도서관진흥법 시행령. (검색일: 2026. 8. 19).</w:t>
      </w:r>
    </w:p>
    <w:p>
      <w:pPr>
        <w:jc w:val="both"/>
      </w:pPr>
      <w:r>
        <w:t>※ 본문은 위 선행연구의 논점을 참고하되, 과제 주제에 맞추어 문제점과 대응방안을 재구성한 참고용 샘플이다.</w:t>
      </w:r>
    </w:p>
    <w:p>
      <w:r>
        <w:br w:type="page"/>
      </w:r>
    </w:p>
    <w:p>
      <w:pPr>
        <w:spacing w:before="560" w:after="440"/>
        <w:ind w:firstLine="0"/>
        <w:jc w:val="center"/>
      </w:pPr>
      <w:r>
        <w:rPr>
          <w:rFonts w:ascii="Noto Sans CJK KR" w:hAnsi="Noto Sans CJK KR" w:eastAsia="Noto Sans CJK KR"/>
          <w:b/>
          <w:color w:val="17365D"/>
          <w:sz w:val="36"/>
        </w:rPr>
        <w:t>과제 참고자료 이용 안내</w:t>
      </w:r>
    </w:p>
    <w:tbl>
      <w:tblPr>
        <w:tblW w:type="auto" w:w="0"/>
        <w:jc w:val="center"/>
        <w:tblLayout w:type="fixed"/>
        <w:tblLook w:firstColumn="1" w:firstRow="1" w:lastColumn="0" w:lastRow="0" w:noHBand="0" w:noVBand="1" w:val="04A0"/>
      </w:tblPr>
      <w:tblGrid>
        <w:gridCol w:w="8784"/>
      </w:tblGrid>
      <w:tr>
        <w:tc>
          <w:tcPr>
            <w:tcW w:type="dxa" w:w="9648"/>
            <w:shd w:fill="FFF4CC"/>
            <w:vAlign w:val="center"/>
          </w:tcPr>
          <w:p>
            <w:pPr>
              <w:spacing w:after="160"/>
              <w:ind w:firstLine="0"/>
            </w:pPr>
            <w:r>
              <w:rPr>
                <w:rFonts w:ascii="Noto Sans CJK KR" w:hAnsi="Noto Sans CJK KR" w:eastAsia="Noto Sans CJK KR"/>
                <w:b/>
                <w:color w:val="8A4B08"/>
                <w:sz w:val="26"/>
              </w:rPr>
              <w:t>⚠ 주의사항</w:t>
            </w:r>
          </w:p>
          <w:p>
            <w:pPr>
              <w:spacing w:after="40"/>
              <w:ind w:firstLine="0"/>
              <w:jc w:val="left"/>
            </w:pPr>
            <w:r>
              <w:rPr>
                <w:rFonts w:ascii="Noto Sans CJK KR" w:hAnsi="Noto Sans CJK KR" w:eastAsia="Noto Sans CJK KR"/>
                <w:sz w:val="22"/>
              </w:rPr>
              <w:t>본 자료는 학점은행제 과제 참고용 샘플입니다.</w:t>
            </w:r>
          </w:p>
          <w:p>
            <w:pPr>
              <w:spacing w:after="40"/>
              <w:ind w:firstLine="0"/>
              <w:jc w:val="left"/>
            </w:pPr>
            <w:r>
              <w:rPr>
                <w:rFonts w:ascii="Noto Sans CJK KR" w:hAnsi="Noto Sans CJK KR" w:eastAsia="Noto Sans CJK KR"/>
                <w:sz w:val="22"/>
              </w:rPr>
              <w:t>위 학습 자료를 그대로 제출할 경우 모사율(표절률)로 인하여</w:t>
            </w:r>
          </w:p>
          <w:p>
            <w:pPr>
              <w:spacing w:after="40"/>
              <w:ind w:firstLine="0"/>
              <w:jc w:val="left"/>
            </w:pPr>
            <w:r>
              <w:rPr>
                <w:rFonts w:ascii="Noto Sans CJK KR" w:hAnsi="Noto Sans CJK KR" w:eastAsia="Noto Sans CJK KR"/>
                <w:sz w:val="22"/>
              </w:rPr>
              <w:t>성적 불이익 또는 해당 과목 0점 처리될 수 있습니다.</w:t>
            </w:r>
          </w:p>
          <w:p>
            <w:pPr>
              <w:spacing w:after="40"/>
              <w:ind w:firstLine="0"/>
              <w:jc w:val="left"/>
            </w:pPr>
            <w:r>
              <w:rPr>
                <w:rFonts w:ascii="Noto Sans CJK KR" w:hAnsi="Noto Sans CJK KR" w:eastAsia="Noto Sans CJK KR"/>
                <w:sz w:val="22"/>
              </w:rPr>
              <w:t>반드시 본인의 언어로 수정·재작성하여 제출하시기 바랍니다.</w:t>
            </w:r>
          </w:p>
        </w:tc>
      </w:tr>
    </w:tbl>
    <w:p>
      <w:pPr>
        <w:spacing w:before="520" w:after="200"/>
        <w:ind w:firstLine="0"/>
        <w:jc w:val="center"/>
      </w:pPr>
      <w:r>
        <w:rPr>
          <w:rFonts w:ascii="Noto Sans CJK KR" w:hAnsi="Noto Sans CJK KR" w:eastAsia="Noto Sans CJK KR"/>
          <w:b/>
          <w:color w:val="1F4E79"/>
          <w:sz w:val="30"/>
        </w:rPr>
        <w:t>과제 수정이 어려우신가요?</w:t>
      </w:r>
    </w:p>
    <w:p>
      <w:pPr>
        <w:spacing w:before="0" w:after="360"/>
        <w:ind w:firstLine="0"/>
        <w:jc w:val="center"/>
      </w:pPr>
      <w:r>
        <w:rPr>
          <w:rFonts w:ascii="Noto Sans CJK KR" w:hAnsi="Noto Sans CJK KR" w:eastAsia="Noto Sans CJK KR"/>
          <w:b w:val="0"/>
          <w:color w:val="333333"/>
          <w:sz w:val="22"/>
        </w:rPr>
        <w:t>국민원격교육관리센터에서 1:1 과제 수정 도움을 드립니다.</w:t>
        <w:br/>
        <w:t>아래 연락처로 문의해 주세요.</w:t>
      </w:r>
    </w:p>
    <w:tbl>
      <w:tblPr>
        <w:tblStyle w:val="TableGrid"/>
        <w:tblW w:type="auto" w:w="0"/>
        <w:jc w:val="center"/>
        <w:tblLayout w:type="fixed"/>
        <w:tblLook w:firstColumn="1" w:firstRow="1" w:lastColumn="0" w:lastRow="0" w:noHBand="0" w:noVBand="1" w:val="04A0"/>
      </w:tblPr>
      <w:tblGrid>
        <w:gridCol w:w="4824"/>
        <w:gridCol w:w="4824"/>
      </w:tblGrid>
      <w:tr>
        <w:tc>
          <w:tcPr>
            <w:tcW w:type="dxa" w:w="4824"/>
            <w:shd w:fill="D9EAF7"/>
            <w:vAlign w:val="center"/>
          </w:tcPr>
          <w:p>
            <w:pPr>
              <w:spacing w:after="0"/>
              <w:ind w:firstLine="0"/>
              <w:jc w:val="center"/>
            </w:pPr>
            <w:r>
              <w:rPr>
                <w:rFonts w:ascii="Noto Sans CJK KR" w:hAnsi="Noto Sans CJK KR" w:eastAsia="Noto Sans CJK KR"/>
                <w:sz w:val="22"/>
              </w:rPr>
              <w:t>전화</w:t>
            </w:r>
          </w:p>
        </w:tc>
        <w:tc>
          <w:tcPr>
            <w:tcW w:type="dxa" w:w="4824"/>
            <w:vAlign w:val="center"/>
          </w:tcPr>
          <w:p>
            <w:pPr>
              <w:spacing w:after="0"/>
              <w:ind w:firstLine="0"/>
              <w:jc w:val="center"/>
            </w:pPr>
            <w:r>
              <w:rPr>
                <w:rFonts w:ascii="Noto Sans CJK KR" w:hAnsi="Noto Sans CJK KR" w:eastAsia="Noto Sans CJK KR"/>
                <w:sz w:val="22"/>
              </w:rPr>
              <w:t>050-7878-7044</w:t>
            </w:r>
          </w:p>
        </w:tc>
      </w:tr>
      <w:tr>
        <w:tc>
          <w:tcPr>
            <w:tcW w:type="dxa" w:w="4824"/>
            <w:shd w:fill="D9EAF7"/>
            <w:vAlign w:val="center"/>
          </w:tcPr>
          <w:p>
            <w:pPr>
              <w:spacing w:after="0"/>
              <w:ind w:firstLine="0"/>
              <w:jc w:val="center"/>
            </w:pPr>
            <w:r>
              <w:rPr>
                <w:rFonts w:ascii="Noto Sans CJK KR" w:hAnsi="Noto Sans CJK KR" w:eastAsia="Noto Sans CJK KR"/>
                <w:sz w:val="22"/>
              </w:rPr>
              <w:t>카카오톡</w:t>
            </w:r>
          </w:p>
        </w:tc>
        <w:tc>
          <w:tcPr>
            <w:tcW w:type="dxa" w:w="4824"/>
            <w:vAlign w:val="center"/>
          </w:tcPr>
          <w:p>
            <w:pPr>
              <w:spacing w:after="0"/>
              <w:ind w:firstLine="0"/>
              <w:jc w:val="center"/>
            </w:pPr>
            <w:r>
              <w:rPr>
                <w:rFonts w:ascii="Noto Sans CJK KR" w:hAnsi="Noto Sans CJK KR" w:eastAsia="Noto Sans CJK KR"/>
                <w:sz w:val="22"/>
              </w:rPr>
              <w:t>@국민원격교육관리센터</w:t>
            </w:r>
          </w:p>
        </w:tc>
      </w:tr>
      <w:tr>
        <w:tc>
          <w:tcPr>
            <w:tcW w:type="dxa" w:w="4824"/>
            <w:shd w:fill="D9EAF7"/>
            <w:vAlign w:val="center"/>
          </w:tcPr>
          <w:p>
            <w:pPr>
              <w:spacing w:after="0"/>
              <w:ind w:firstLine="0"/>
              <w:jc w:val="center"/>
            </w:pPr>
            <w:r>
              <w:rPr>
                <w:rFonts w:ascii="Noto Sans CJK KR" w:hAnsi="Noto Sans CJK KR" w:eastAsia="Noto Sans CJK KR"/>
                <w:sz w:val="22"/>
              </w:rPr>
              <w:t>운영시간</w:t>
            </w:r>
          </w:p>
        </w:tc>
        <w:tc>
          <w:tcPr>
            <w:tcW w:type="dxa" w:w="4824"/>
            <w:vAlign w:val="center"/>
          </w:tcPr>
          <w:p>
            <w:pPr>
              <w:spacing w:after="0"/>
              <w:ind w:firstLine="0"/>
              <w:jc w:val="center"/>
            </w:pPr>
            <w:r>
              <w:rPr>
                <w:rFonts w:ascii="Noto Sans CJK KR" w:hAnsi="Noto Sans CJK KR" w:eastAsia="Noto Sans CJK KR"/>
                <w:sz w:val="22"/>
              </w:rPr>
              <w:t>평일 10:00–19:00</w:t>
            </w:r>
          </w:p>
        </w:tc>
      </w:tr>
      <w:tr>
        <w:tc>
          <w:tcPr>
            <w:tcW w:type="dxa" w:w="4824"/>
            <w:shd w:fill="D9EAF7"/>
            <w:vAlign w:val="center"/>
          </w:tcPr>
          <w:p>
            <w:pPr>
              <w:spacing w:after="0"/>
              <w:ind w:firstLine="0"/>
              <w:jc w:val="center"/>
            </w:pPr>
            <w:r>
              <w:rPr>
                <w:rFonts w:ascii="Noto Sans CJK KR" w:hAnsi="Noto Sans CJK KR" w:eastAsia="Noto Sans CJK KR"/>
                <w:sz w:val="22"/>
              </w:rPr>
              <w:t>웹사이트</w:t>
            </w:r>
          </w:p>
        </w:tc>
        <w:tc>
          <w:tcPr>
            <w:tcW w:type="dxa" w:w="4824"/>
            <w:vAlign w:val="center"/>
          </w:tcPr>
          <w:p>
            <w:pPr>
              <w:spacing w:after="0"/>
              <w:ind w:firstLine="0"/>
              <w:jc w:val="center"/>
            </w:pPr>
            <w:r>
              <w:rPr>
                <w:rFonts w:ascii="Noto Sans CJK KR" w:hAnsi="Noto Sans CJK KR" w:eastAsia="Noto Sans CJK KR"/>
                <w:sz w:val="22"/>
              </w:rPr>
              <w:t>korealms.co.kr</w:t>
            </w:r>
          </w:p>
        </w:tc>
      </w:tr>
    </w:tbl>
    <w:sectPr w:rsidR="00FC693F" w:rsidRPr="0006063C" w:rsidSect="00034616">
      <w:footerReference w:type="default" r:id="rId9"/>
      <w:pgSz w:w="12240" w:h="15840"/>
      <w:pgMar w:top="1224" w:right="1296" w:bottom="1224"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20"/>
      <w:ind w:firstLine="200"/>
    </w:pPr>
    <w:rPr>
      <w:rFonts w:ascii="Noto Sans CJK KR" w:hAnsi="Noto Sans CJK KR" w:eastAsia="Noto Sans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20"/>
      <w:outlineLvl w:val="0"/>
    </w:pPr>
    <w:rPr>
      <w:rFonts w:asciiTheme="majorHAnsi" w:eastAsiaTheme="majorEastAsia" w:hAnsiTheme="majorHAnsi" w:cstheme="majorBidi" w:ascii="Noto Sans CJK KR" w:hAnsi="Noto Sans CJK KR" w:eastAsia="Noto Sans CJK KR"/>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160" w:after="120"/>
      <w:outlineLvl w:val="1"/>
    </w:pPr>
    <w:rPr>
      <w:rFonts w:asciiTheme="majorHAnsi" w:eastAsiaTheme="majorEastAsia" w:hAnsiTheme="majorHAnsi" w:cstheme="majorBidi" w:ascii="Noto Sans CJK KR" w:hAnsi="Noto Sans CJK KR" w:eastAsia="Noto Sans CJK KR"/>
      <w:b/>
      <w:bCs/>
      <w:color w:val="2F5597"/>
      <w:sz w:val="25"/>
      <w:szCs w:val="26"/>
    </w:rPr>
  </w:style>
  <w:style w:type="paragraph" w:styleId="Heading3">
    <w:name w:val="heading 3"/>
    <w:basedOn w:val="Normal"/>
    <w:next w:val="Normal"/>
    <w:link w:val="Heading3Char"/>
    <w:uiPriority w:val="9"/>
    <w:unhideWhenUsed/>
    <w:qFormat/>
    <w:rsid w:val="00FC693F"/>
    <w:pPr>
      <w:keepNext/>
      <w:keepLines/>
      <w:spacing w:before="160" w:after="120"/>
      <w:outlineLvl w:val="2"/>
    </w:pPr>
    <w:rPr>
      <w:rFonts w:asciiTheme="majorHAnsi" w:eastAsiaTheme="majorEastAsia" w:hAnsiTheme="majorHAnsi" w:cstheme="majorBidi" w:ascii="Noto Sans CJK KR" w:hAnsi="Noto Sans CJK KR" w:eastAsia="Noto Sans CJK KR"/>
      <w:b/>
      <w:bCs/>
      <w:color w:val="44546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160"/>
      <w:contextualSpacing/>
    </w:pPr>
    <w:rPr>
      <w:rFonts w:asciiTheme="majorHAnsi" w:eastAsiaTheme="majorEastAsia" w:hAnsiTheme="majorHAnsi" w:cstheme="majorBidi" w:ascii="Noto Sans CJK KR" w:hAnsi="Noto Sans CJK KR" w:eastAsia="Noto Sans CJK KR"/>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line="336" w:lineRule="auto" w:after="80"/>
      <w:ind w:hanging="320" w:left="320"/>
    </w:pPr>
    <w:rPr>
      <w:rFonts w:ascii="Noto Sans CJK KR" w:hAnsi="Noto Sans CJK KR" w:eastAsia="Noto Sans CJK KR"/>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대학도서관 팀제 조직개편의 문제점과 대응방안</dc:title>
  <dc:subject>대학도서관운영론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