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100"/>
        <w:jc w:val="center"/>
      </w:pPr>
      <w:r>
        <w:rPr>
          <w:rFonts w:ascii="Malgun Gothic" w:hAnsi="Malgun Gothic" w:eastAsia="맑은 고딕"/>
          <w:b/>
          <w:color w:val="163A5F"/>
          <w:sz w:val="40"/>
        </w:rPr>
        <w:t>외국어로서의 한국어교육개론</w:t>
      </w:r>
    </w:p>
    <w:p>
      <w:pPr>
        <w:spacing w:before="480"/>
        <w:jc w:val="center"/>
      </w:pPr>
      <w:r>
        <w:rPr>
          <w:rFonts w:ascii="Malgun Gothic" w:hAnsi="Malgun Gothic" w:eastAsia="맑은 고딕"/>
          <w:b/>
          <w:sz w:val="34"/>
        </w:rPr>
        <w:t>미디어나 일상에서 외국인 학습자의 한국어 오류를 포착하고</w:t>
        <w:br/>
        <w:t>오류 원인을 분석</w:t>
      </w:r>
    </w:p>
    <w:p>
      <w:pPr>
        <w:spacing w:before="560"/>
        <w:jc w:val="center"/>
      </w:pPr>
      <w:r>
        <w:rPr>
          <w:rFonts w:ascii="Malgun Gothic" w:hAnsi="Malgun Gothic" w:eastAsia="맑은 고딕"/>
          <w:color w:val="5A5A5A"/>
          <w:sz w:val="22"/>
        </w:rPr>
        <w:t>학점은행제 과제 참고용 샘플</w:t>
      </w:r>
    </w:p>
    <w:p>
      <w:pPr>
        <w:spacing w:before="900"/>
      </w:pPr>
      <w:r>
        <w:rPr>
          <w:b/>
          <w:color w:val="18436F"/>
          <w:sz w:val="28"/>
        </w:rPr>
        <w:t>목 차</w:t>
      </w:r>
    </w:p>
    <w:p>
      <w:pPr>
        <w:spacing w:after="60"/>
        <w:ind w:left="0"/>
      </w:pPr>
      <w:r>
        <w:rPr>
          <w:rFonts w:ascii="Malgun Gothic" w:hAnsi="Malgun Gothic" w:eastAsia="맑은 고딕"/>
          <w:sz w:val="21"/>
        </w:rPr>
        <w:t>Ⅰ. 서론</w:t>
      </w:r>
    </w:p>
    <w:p>
      <w:pPr>
        <w:spacing w:after="60"/>
        <w:ind w:left="0"/>
      </w:pPr>
      <w:r>
        <w:rPr>
          <w:rFonts w:ascii="Malgun Gothic" w:hAnsi="Malgun Gothic" w:eastAsia="맑은 고딕"/>
          <w:sz w:val="21"/>
        </w:rPr>
        <w:t>Ⅱ. 본론</w:t>
      </w:r>
    </w:p>
    <w:p>
      <w:pPr>
        <w:spacing w:after="60"/>
        <w:ind w:left="227"/>
      </w:pPr>
      <w:r>
        <w:rPr>
          <w:rFonts w:ascii="Malgun Gothic" w:hAnsi="Malgun Gothic" w:eastAsia="맑은 고딕"/>
          <w:sz w:val="21"/>
        </w:rPr>
        <w:t>1. 한국어 학습자 오류의 개념과 관찰 기준</w:t>
      </w:r>
    </w:p>
    <w:p>
      <w:pPr>
        <w:spacing w:after="60"/>
        <w:ind w:left="227"/>
      </w:pPr>
      <w:r>
        <w:rPr>
          <w:rFonts w:ascii="Malgun Gothic" w:hAnsi="Malgun Gothic" w:eastAsia="맑은 고딕"/>
          <w:sz w:val="21"/>
        </w:rPr>
        <w:t>2. 미디어·일상에서 포착할 수 있는 오류 사례</w:t>
      </w:r>
    </w:p>
    <w:p>
      <w:pPr>
        <w:spacing w:after="60"/>
        <w:ind w:left="227"/>
      </w:pPr>
      <w:r>
        <w:rPr>
          <w:rFonts w:ascii="Malgun Gothic" w:hAnsi="Malgun Gothic" w:eastAsia="맑은 고딕"/>
          <w:sz w:val="21"/>
        </w:rPr>
        <w:t>3. 오류별 발생 원인 분석</w:t>
      </w:r>
    </w:p>
    <w:p>
      <w:pPr>
        <w:spacing w:after="60"/>
        <w:ind w:left="227"/>
      </w:pPr>
      <w:r>
        <w:rPr>
          <w:rFonts w:ascii="Malgun Gothic" w:hAnsi="Malgun Gothic" w:eastAsia="맑은 고딕"/>
          <w:sz w:val="21"/>
        </w:rPr>
        <w:t>4. 오류 분석의 교육적 활용 방안</w:t>
      </w:r>
    </w:p>
    <w:p>
      <w:pPr>
        <w:spacing w:after="60"/>
        <w:ind w:left="0"/>
      </w:pPr>
      <w:r>
        <w:rPr>
          <w:rFonts w:ascii="Malgun Gothic" w:hAnsi="Malgun Gothic" w:eastAsia="맑은 고딕"/>
          <w:sz w:val="21"/>
        </w:rPr>
        <w:t>Ⅲ. 결론</w:t>
      </w:r>
    </w:p>
    <w:p>
      <w:pPr>
        <w:spacing w:after="60"/>
        <w:ind w:left="0"/>
      </w:pPr>
      <w:r>
        <w:rPr>
          <w:rFonts w:ascii="Malgun Gothic" w:hAnsi="Malgun Gothic" w:eastAsia="맑은 고딕"/>
          <w:sz w:val="21"/>
        </w:rPr>
        <w:t>참고문헌</w:t>
      </w:r>
    </w:p>
    <w:p>
      <w:r>
        <w:br w:type="page"/>
      </w:r>
    </w:p>
    <w:p>
      <w:pPr>
        <w:pStyle w:val="Heading1"/>
        <w:keepNext/>
      </w:pPr>
      <w:r>
        <w:t>Ⅰ. 서론</w:t>
      </w:r>
    </w:p>
    <w:p>
      <w:pPr>
        <w:spacing w:line="384" w:lineRule="auto" w:after="120"/>
        <w:ind w:firstLine="397"/>
      </w:pPr>
      <w:r>
        <w:rPr>
          <w:rFonts w:ascii="Malgun Gothic" w:hAnsi="Malgun Gothic" w:eastAsia="맑은 고딕"/>
          <w:b w:val="0"/>
        </w:rPr>
        <w:t>한국어를 배우는 외국인 학습자는 학습 과정에서 다양한 오류를 보인다. 이러한 오류는 단순한 실패나 부족함이라기보다 학습자가 현재 어떤 언어 체계를 구성하고 있는지를 보여 주는 자료라는 점에서 교육적으로 중요한 의미를 지닌다. 특히 실제 대화, 방송 프로그램, 유튜브 영상, 인터뷰, 외국인 출연 예능 등에서 관찰되는 오류는 교재에서 의도적으로 만든 예문보다 학습자의 실제 언어 사용 양상을 더 생생하게 드러낼 수 있다. 따라서 한국어 교사는 오류를 단순히 수정하는 데 그치지 않고 오류가 발생한 원인을 분석함으로써 학습자의 언어 발달 단계와 교수·학습상의 어려움을 파악할 필요가 있다.</w:t>
      </w:r>
    </w:p>
    <w:p>
      <w:pPr>
        <w:spacing w:line="384" w:lineRule="auto" w:after="120"/>
        <w:ind w:firstLine="397"/>
      </w:pPr>
      <w:r>
        <w:rPr>
          <w:rFonts w:ascii="Malgun Gothic" w:hAnsi="Malgun Gothic" w:eastAsia="맑은 고딕"/>
          <w:b w:val="0"/>
        </w:rPr>
        <w:t>외국인 학습자의 오류는 모국어와 한국어의 구조 차이에서 비롯되는 언어 간 전이, 한국어 규칙을 지나치게 일반화하는 과정, 어휘의 의미·결합 관계에 대한 불완전한 지식, 발음 체계 차이, 그리고 실제 의사소통 상황에서의 부담 등 여러 요인이 복합적으로 작용하여 발생한다. 국립국어원의 「한국어 학습자의 오류 유형 조사 연구」 역시 한국어 학습자의 오류를 체계적으로 수집하고 유형화하는 일이 교육 내용 설계와 교수 전략 마련에 중요함을 보여 준다. 본 과제에서는 미디어와 일상에서 충분히 포착할 수 있는 대표적 오류를 재구성하여 제시하고, 각 오류의 성격과 발생 원인을 문법·어휘·발음·화용적 측면에서 분석한 뒤 한국어 교육에 활용할 수 있는 방안을 논의하고자 한다.</w:t>
      </w:r>
    </w:p>
    <w:p>
      <w:pPr>
        <w:pStyle w:val="Heading1"/>
        <w:keepNext/>
      </w:pPr>
      <w:r>
        <w:t>Ⅱ. 본론</w:t>
      </w:r>
    </w:p>
    <w:p>
      <w:pPr>
        <w:pStyle w:val="Heading2"/>
        <w:keepNext/>
      </w:pPr>
      <w:r>
        <w:t>1. 한국어 학습자 오류의 개념과 관찰 기준</w:t>
      </w:r>
    </w:p>
    <w:p>
      <w:pPr>
        <w:spacing w:line="384" w:lineRule="auto" w:after="120"/>
        <w:ind w:firstLine="397"/>
      </w:pPr>
      <w:r>
        <w:rPr>
          <w:rFonts w:ascii="Malgun Gothic" w:hAnsi="Malgun Gothic" w:eastAsia="맑은 고딕"/>
          <w:b w:val="0"/>
        </w:rPr>
        <w:t>오류(error)는 학습자가 아직 목표어의 규칙을 완전히 습득하지 못해 반복적으로 나타내는 체계적인 비표준적 표현을 의미한다. 이는 순간적인 실수(mistake)와 구별할 필요가 있다. 실수는 학습자가 올바른 규칙을 알고 있음에도 피로, 긴장, 주의 부족 등으로 일시적으로 잘못 말한 경우이지만, 오류는 학습자의 내부 언어 체계에서 일정한 규칙성을 갖고 반복되는 경향이 있다. 따라서 동일한 표현에서 같은 형태의 잘못이 지속된다면 단순한 발화 실수보다 학습상의 오류로 볼 가능성이 높다.</w:t>
      </w:r>
    </w:p>
    <w:p>
      <w:pPr>
        <w:spacing w:line="384" w:lineRule="auto" w:after="120"/>
        <w:ind w:firstLine="397"/>
      </w:pPr>
      <w:r>
        <w:rPr>
          <w:rFonts w:ascii="Malgun Gothic" w:hAnsi="Malgun Gothic" w:eastAsia="맑은 고딕"/>
          <w:b w:val="0"/>
        </w:rPr>
        <w:t>오류를 관찰할 때에는 첫째, 표현이 실제 한국어 화자의 일반적 사용과 어느 정도 차이가 있는지, 둘째, 그 차이가 의미 전달을 방해하는지, 셋째, 동일한 오류가 반복되는지, 넷째, 학습자의 모국어 구조와 관련이 있는지, 다섯째, 한국어 규칙 자체의 복잡성이나 예외가 영향을 주었는지를 함께 살펴야 한다. 특히 오류의 원인을 모국어 간섭 하나로만 설명하는 것은 적절하지 않다. 예를 들어 조사 ‘-에’와 ‘-에서’의 혼동은 모국어의 조사 체계 차이와 연결될 수 있지만, 여러 언어권 학습자에게 공통적으로 나타난다는 점에서 한국어 문법 체계 자체의 복잡성도 중요한 원인이 될 수 있다.</w:t>
      </w:r>
    </w:p>
    <w:p>
      <w:pPr>
        <w:pStyle w:val="Heading2"/>
        <w:keepNext/>
      </w:pPr>
      <w:r>
        <w:t>2. 미디어·일상에서 포착할 수 있는 오류 사례</w:t>
      </w:r>
    </w:p>
    <w:p>
      <w:pPr>
        <w:spacing w:line="384" w:lineRule="auto" w:after="120"/>
      </w:pPr>
      <w:r>
        <w:rPr>
          <w:rFonts w:ascii="Malgun Gothic" w:hAnsi="Malgun Gothic" w:eastAsia="맑은 고딕"/>
          <w:b w:val="0"/>
        </w:rPr>
        <w:t>다음 사례는 외국인 학습자의 방송 출연, 일상 대화, 온라인 영상 등에서 흔히 관찰되는 오류 유형을 바탕으로 재구성한 예이다. 특정 개인의 발화를 그대로 인용하기보다는 교육적 분석이 가능하도록 대표적인 형태로 정리하였다.</w:t>
      </w:r>
    </w:p>
    <w:tbl>
      <w:tblPr>
        <w:tblStyle w:val="TableGrid"/>
        <w:tblW w:type="auto" w:w="0"/>
        <w:jc w:val="center"/>
        <w:tblLook w:firstColumn="1" w:firstRow="1" w:lastColumn="0" w:lastRow="0" w:noHBand="0" w:noVBand="1" w:val="04A0"/>
      </w:tblPr>
      <w:tblGrid>
        <w:gridCol w:w="2351"/>
        <w:gridCol w:w="2351"/>
        <w:gridCol w:w="2351"/>
        <w:gridCol w:w="2351"/>
      </w:tblGrid>
      <w:tr>
        <w:tc>
          <w:tcPr>
            <w:tcW w:type="dxa" w:w="2351"/>
            <w:shd w:fill="DCE6F1"/>
            <w:vAlign w:val="center"/>
          </w:tcPr>
          <w:p>
            <w:r>
              <w:t>구분</w:t>
            </w:r>
          </w:p>
        </w:tc>
        <w:tc>
          <w:tcPr>
            <w:tcW w:type="dxa" w:w="2351"/>
            <w:shd w:fill="DCE6F1"/>
            <w:vAlign w:val="center"/>
          </w:tcPr>
          <w:p>
            <w:r>
              <w:t>학습자 표현</w:t>
            </w:r>
          </w:p>
        </w:tc>
        <w:tc>
          <w:tcPr>
            <w:tcW w:type="dxa" w:w="2351"/>
            <w:shd w:fill="DCE6F1"/>
            <w:vAlign w:val="center"/>
          </w:tcPr>
          <w:p>
            <w:r>
              <w:t>자연스러운 표현</w:t>
            </w:r>
          </w:p>
        </w:tc>
        <w:tc>
          <w:tcPr>
            <w:tcW w:type="dxa" w:w="2351"/>
            <w:shd w:fill="DCE6F1"/>
            <w:vAlign w:val="center"/>
          </w:tcPr>
          <w:p>
            <w:r>
              <w:t>주요 오류 유형</w:t>
            </w:r>
          </w:p>
        </w:tc>
      </w:tr>
      <w:tr>
        <w:tc>
          <w:tcPr>
            <w:tcW w:type="dxa" w:w="2351"/>
          </w:tcPr>
          <w:p>
            <w:r>
              <w:rPr>
                <w:rFonts w:ascii="Malgun Gothic" w:hAnsi="Malgun Gothic" w:eastAsia="맑은 고딕"/>
                <w:sz w:val="18"/>
              </w:rPr>
              <w:t>사례 1</w:t>
            </w:r>
          </w:p>
        </w:tc>
        <w:tc>
          <w:tcPr>
            <w:tcW w:type="dxa" w:w="2351"/>
          </w:tcPr>
          <w:p>
            <w:r>
              <w:rPr>
                <w:rFonts w:ascii="Malgun Gothic" w:hAnsi="Malgun Gothic" w:eastAsia="맑은 고딕"/>
                <w:sz w:val="18"/>
              </w:rPr>
              <w:t>저는 어제 친구를 만나고 밥을 먹을 거예요.</w:t>
            </w:r>
          </w:p>
        </w:tc>
        <w:tc>
          <w:tcPr>
            <w:tcW w:type="dxa" w:w="2351"/>
          </w:tcPr>
          <w:p>
            <w:r>
              <w:rPr>
                <w:rFonts w:ascii="Malgun Gothic" w:hAnsi="Malgun Gothic" w:eastAsia="맑은 고딕"/>
                <w:sz w:val="18"/>
              </w:rPr>
              <w:t>저는 어제 친구를 만나고 밥을 먹었어요.</w:t>
            </w:r>
          </w:p>
        </w:tc>
        <w:tc>
          <w:tcPr>
            <w:tcW w:type="dxa" w:w="2351"/>
          </w:tcPr>
          <w:p>
            <w:r>
              <w:rPr>
                <w:rFonts w:ascii="Malgun Gothic" w:hAnsi="Malgun Gothic" w:eastAsia="맑은 고딕"/>
                <w:sz w:val="18"/>
              </w:rPr>
              <w:t>시제 오류</w:t>
            </w:r>
          </w:p>
        </w:tc>
      </w:tr>
      <w:tr>
        <w:tc>
          <w:tcPr>
            <w:tcW w:type="dxa" w:w="2351"/>
          </w:tcPr>
          <w:p>
            <w:r>
              <w:rPr>
                <w:rFonts w:ascii="Malgun Gothic" w:hAnsi="Malgun Gothic" w:eastAsia="맑은 고딕"/>
                <w:sz w:val="18"/>
              </w:rPr>
              <w:t>사례 2</w:t>
            </w:r>
          </w:p>
        </w:tc>
        <w:tc>
          <w:tcPr>
            <w:tcW w:type="dxa" w:w="2351"/>
          </w:tcPr>
          <w:p>
            <w:r>
              <w:rPr>
                <w:rFonts w:ascii="Malgun Gothic" w:hAnsi="Malgun Gothic" w:eastAsia="맑은 고딕"/>
                <w:sz w:val="18"/>
              </w:rPr>
              <w:t>저는 학교에서 있어요.</w:t>
            </w:r>
          </w:p>
        </w:tc>
        <w:tc>
          <w:tcPr>
            <w:tcW w:type="dxa" w:w="2351"/>
          </w:tcPr>
          <w:p>
            <w:r>
              <w:rPr>
                <w:rFonts w:ascii="Malgun Gothic" w:hAnsi="Malgun Gothic" w:eastAsia="맑은 고딕"/>
                <w:sz w:val="18"/>
              </w:rPr>
              <w:t>저는 학교에 있어요.</w:t>
            </w:r>
          </w:p>
        </w:tc>
        <w:tc>
          <w:tcPr>
            <w:tcW w:type="dxa" w:w="2351"/>
          </w:tcPr>
          <w:p>
            <w:r>
              <w:rPr>
                <w:rFonts w:ascii="Malgun Gothic" w:hAnsi="Malgun Gothic" w:eastAsia="맑은 고딕"/>
                <w:sz w:val="18"/>
              </w:rPr>
              <w:t>조사 오류</w:t>
            </w:r>
          </w:p>
        </w:tc>
      </w:tr>
      <w:tr>
        <w:tc>
          <w:tcPr>
            <w:tcW w:type="dxa" w:w="2351"/>
          </w:tcPr>
          <w:p>
            <w:r>
              <w:rPr>
                <w:rFonts w:ascii="Malgun Gothic" w:hAnsi="Malgun Gothic" w:eastAsia="맑은 고딕"/>
                <w:sz w:val="18"/>
              </w:rPr>
              <w:t>사례 3</w:t>
            </w:r>
          </w:p>
        </w:tc>
        <w:tc>
          <w:tcPr>
            <w:tcW w:type="dxa" w:w="2351"/>
          </w:tcPr>
          <w:p>
            <w:r>
              <w:rPr>
                <w:rFonts w:ascii="Malgun Gothic" w:hAnsi="Malgun Gothic" w:eastAsia="맑은 고딕"/>
                <w:sz w:val="18"/>
              </w:rPr>
              <w:t>비가 와서 우산을 입었어요.</w:t>
            </w:r>
          </w:p>
        </w:tc>
        <w:tc>
          <w:tcPr>
            <w:tcW w:type="dxa" w:w="2351"/>
          </w:tcPr>
          <w:p>
            <w:r>
              <w:rPr>
                <w:rFonts w:ascii="Malgun Gothic" w:hAnsi="Malgun Gothic" w:eastAsia="맑은 고딕"/>
                <w:sz w:val="18"/>
              </w:rPr>
              <w:t>비가 와서 우산을 썼어요.</w:t>
            </w:r>
          </w:p>
        </w:tc>
        <w:tc>
          <w:tcPr>
            <w:tcW w:type="dxa" w:w="2351"/>
          </w:tcPr>
          <w:p>
            <w:r>
              <w:rPr>
                <w:rFonts w:ascii="Malgun Gothic" w:hAnsi="Malgun Gothic" w:eastAsia="맑은 고딕"/>
                <w:sz w:val="18"/>
              </w:rPr>
              <w:t>어휘 결합 오류</w:t>
            </w:r>
          </w:p>
        </w:tc>
      </w:tr>
      <w:tr>
        <w:tc>
          <w:tcPr>
            <w:tcW w:type="dxa" w:w="2351"/>
          </w:tcPr>
          <w:p>
            <w:r>
              <w:rPr>
                <w:rFonts w:ascii="Malgun Gothic" w:hAnsi="Malgun Gothic" w:eastAsia="맑은 고딕"/>
                <w:sz w:val="18"/>
              </w:rPr>
              <w:t>사례 4</w:t>
            </w:r>
          </w:p>
        </w:tc>
        <w:tc>
          <w:tcPr>
            <w:tcW w:type="dxa" w:w="2351"/>
          </w:tcPr>
          <w:p>
            <w:r>
              <w:rPr>
                <w:rFonts w:ascii="Malgun Gothic" w:hAnsi="Malgun Gothic" w:eastAsia="맑은 고딕"/>
                <w:sz w:val="18"/>
              </w:rPr>
              <w:t>한국 음식이 많이 매워지만 맛있어요.</w:t>
            </w:r>
          </w:p>
        </w:tc>
        <w:tc>
          <w:tcPr>
            <w:tcW w:type="dxa" w:w="2351"/>
          </w:tcPr>
          <w:p>
            <w:r>
              <w:rPr>
                <w:rFonts w:ascii="Malgun Gothic" w:hAnsi="Malgun Gothic" w:eastAsia="맑은 고딕"/>
                <w:sz w:val="18"/>
              </w:rPr>
              <w:t>한국 음식이 많이 맵지만 맛있어요.</w:t>
            </w:r>
          </w:p>
        </w:tc>
        <w:tc>
          <w:tcPr>
            <w:tcW w:type="dxa" w:w="2351"/>
          </w:tcPr>
          <w:p>
            <w:r>
              <w:rPr>
                <w:rFonts w:ascii="Malgun Gothic" w:hAnsi="Malgun Gothic" w:eastAsia="맑은 고딕"/>
                <w:sz w:val="18"/>
              </w:rPr>
              <w:t>활용·형태 오류</w:t>
            </w:r>
          </w:p>
        </w:tc>
      </w:tr>
      <w:tr>
        <w:tc>
          <w:tcPr>
            <w:tcW w:type="dxa" w:w="2351"/>
          </w:tcPr>
          <w:p>
            <w:r>
              <w:rPr>
                <w:rFonts w:ascii="Malgun Gothic" w:hAnsi="Malgun Gothic" w:eastAsia="맑은 고딕"/>
                <w:sz w:val="18"/>
              </w:rPr>
              <w:t>사례 5</w:t>
            </w:r>
          </w:p>
        </w:tc>
        <w:tc>
          <w:tcPr>
            <w:tcW w:type="dxa" w:w="2351"/>
          </w:tcPr>
          <w:p>
            <w:r>
              <w:rPr>
                <w:rFonts w:ascii="Malgun Gothic" w:hAnsi="Malgun Gothic" w:eastAsia="맑은 고딕"/>
                <w:sz w:val="18"/>
              </w:rPr>
              <w:t>친구에게 “밥 먹었어?”라고 했는데, 친구가 “네, 먹었습니다”라고 대답했어요.</w:t>
            </w:r>
          </w:p>
        </w:tc>
        <w:tc>
          <w:tcPr>
            <w:tcW w:type="dxa" w:w="2351"/>
          </w:tcPr>
          <w:p>
            <w:r>
              <w:rPr>
                <w:rFonts w:ascii="Malgun Gothic" w:hAnsi="Malgun Gothic" w:eastAsia="맑은 고딕"/>
                <w:sz w:val="18"/>
              </w:rPr>
              <w:t>상황에 따라 “응, 먹었어” 또는 “네, 먹었어요”가 자연스러움</w:t>
            </w:r>
          </w:p>
        </w:tc>
        <w:tc>
          <w:tcPr>
            <w:tcW w:type="dxa" w:w="2351"/>
          </w:tcPr>
          <w:p>
            <w:r>
              <w:rPr>
                <w:rFonts w:ascii="Malgun Gothic" w:hAnsi="Malgun Gothic" w:eastAsia="맑은 고딕"/>
                <w:sz w:val="18"/>
              </w:rPr>
              <w:t>높임·화용 오류</w:t>
            </w:r>
          </w:p>
        </w:tc>
      </w:tr>
      <w:tr>
        <w:tc>
          <w:tcPr>
            <w:tcW w:type="dxa" w:w="2351"/>
          </w:tcPr>
          <w:p>
            <w:r>
              <w:rPr>
                <w:rFonts w:ascii="Malgun Gothic" w:hAnsi="Malgun Gothic" w:eastAsia="맑은 고딕"/>
                <w:sz w:val="18"/>
              </w:rPr>
              <w:t>사례 6</w:t>
            </w:r>
          </w:p>
        </w:tc>
        <w:tc>
          <w:tcPr>
            <w:tcW w:type="dxa" w:w="2351"/>
          </w:tcPr>
          <w:p>
            <w:r>
              <w:rPr>
                <w:rFonts w:ascii="Malgun Gothic" w:hAnsi="Malgun Gothic" w:eastAsia="맑은 고딕"/>
                <w:sz w:val="18"/>
              </w:rPr>
              <w:t>‘달’을 [딸]처럼 발음하거나 ‘불’을 [뿔]처럼 발음함</w:t>
            </w:r>
          </w:p>
        </w:tc>
        <w:tc>
          <w:tcPr>
            <w:tcW w:type="dxa" w:w="2351"/>
          </w:tcPr>
          <w:p>
            <w:r>
              <w:rPr>
                <w:rFonts w:ascii="Malgun Gothic" w:hAnsi="Malgun Gothic" w:eastAsia="맑은 고딕"/>
                <w:sz w:val="18"/>
              </w:rPr>
              <w:t>평음·경음의 음가 차이를 구별하여 발음</w:t>
            </w:r>
          </w:p>
        </w:tc>
        <w:tc>
          <w:tcPr>
            <w:tcW w:type="dxa" w:w="2351"/>
          </w:tcPr>
          <w:p>
            <w:r>
              <w:rPr>
                <w:rFonts w:ascii="Malgun Gothic" w:hAnsi="Malgun Gothic" w:eastAsia="맑은 고딕"/>
                <w:sz w:val="18"/>
              </w:rPr>
              <w:t>발음 오류</w:t>
            </w:r>
          </w:p>
        </w:tc>
      </w:tr>
    </w:tbl>
    <w:p>
      <w:pPr>
        <w:pStyle w:val="Heading2"/>
        <w:keepNext/>
      </w:pPr>
      <w:r>
        <w:t>3. 오류별 발생 원인 분석</w:t>
      </w:r>
    </w:p>
    <w:p>
      <w:pPr>
        <w:pStyle w:val="Heading2"/>
        <w:keepNext/>
      </w:pPr>
      <w:r>
        <w:t>3.1 시제 오류: “어제 … 먹을 거예요”</w:t>
      </w:r>
    </w:p>
    <w:p>
      <w:pPr>
        <w:spacing w:line="384" w:lineRule="auto" w:after="120"/>
        <w:ind w:firstLine="397"/>
      </w:pPr>
      <w:r>
        <w:rPr>
          <w:rFonts w:ascii="Malgun Gothic" w:hAnsi="Malgun Gothic" w:eastAsia="맑은 고딕"/>
          <w:b w:val="0"/>
        </w:rPr>
        <w:t>사례 1의 핵심은 과거를 나타내는 시간 부사 ‘어제’와 미래 표현 ‘-(으)ㄹ 거예요’가 함께 사용되었다는 점이다. 이러한 오류는 한국어의 시제 표지가 학습자의 모국어 체계와 다르거나, 문장 종결 표현을 하나의 고정된 덩어리로 기억했을 때 나타날 수 있다. 중국어나 베트남어와 같이 한국어와 다른 방식으로 시간 관계를 표현하는 언어의 학습자는 시간 부사와 동사 어미의 시제 일치를 별도의 문법 과제로 느낄 수 있다. 또한 초급 단계에서 ‘-(으)ㄹ 거예요’를 미래 계획을 말하는 대표 표현으로 강하게 학습한 뒤 이를 과도하게 적용하는 과정에서도 오류가 발생할 수 있다.</w:t>
      </w:r>
    </w:p>
    <w:p>
      <w:pPr>
        <w:spacing w:line="384" w:lineRule="auto" w:after="120"/>
        <w:ind w:firstLine="397"/>
      </w:pPr>
      <w:r>
        <w:rPr>
          <w:rFonts w:ascii="Malgun Gothic" w:hAnsi="Malgun Gothic" w:eastAsia="맑은 고딕"/>
          <w:b w:val="0"/>
        </w:rPr>
        <w:t>이 오류는 단순히 “과거형을 몰라서”라고 보기보다 학습자가 시간 부사와 서술어의 시제 형태를 동시에 통제하지 못한 결과로 해석하는 편이 적절하다. 따라서 교수 시에는 ‘어제–았/었어요’, ‘지금–고 있어요’, ‘내일–(으)ㄹ 거예요’와 같이 시간 표현과 시제 어미를 짝으로 제시하고, 서로 어울리지 않는 조합을 찾아 수정하도록 하는 활동이 효과적이다.</w:t>
      </w:r>
    </w:p>
    <w:p>
      <w:pPr>
        <w:pStyle w:val="Heading2"/>
        <w:keepNext/>
      </w:pPr>
      <w:r>
        <w:t>3.2 조사 오류: “학교에서 있어요”</w:t>
      </w:r>
    </w:p>
    <w:p>
      <w:pPr>
        <w:spacing w:line="384" w:lineRule="auto" w:after="120"/>
        <w:ind w:firstLine="397"/>
      </w:pPr>
      <w:r>
        <w:rPr>
          <w:rFonts w:ascii="Malgun Gothic" w:hAnsi="Malgun Gothic" w:eastAsia="맑은 고딕"/>
          <w:b w:val="0"/>
        </w:rPr>
        <w:t>사례 2는 장소 조사 ‘-에’와 ‘-에서’의 기능 차이를 구분하지 못한 오류이다. 일반적으로 ‘-에’는 존재나 위치의 장소를 나타낼 때 ‘있다/없다’와 결합하고, ‘-에서’는 동작이 이루어지는 장소를 나타낼 때 사용된다. 학습자는 ‘학교에서 공부해요’, ‘식당에서 먹어요’와 같은 문장을 많이 접한 뒤 장소에는 항상 ‘-에서’를 사용한다고 일반화할 수 있다. 특히 모국어에서 한국어처럼 두 조사를 세밀하게 구분하지 않는 경우에는 언어 간 간섭이 더해질 수 있다.</w:t>
      </w:r>
    </w:p>
    <w:p>
      <w:pPr>
        <w:spacing w:line="384" w:lineRule="auto" w:after="120"/>
        <w:ind w:firstLine="397"/>
      </w:pPr>
      <w:r>
        <w:rPr>
          <w:rFonts w:ascii="Malgun Gothic" w:hAnsi="Malgun Gothic" w:eastAsia="맑은 고딕"/>
          <w:b w:val="0"/>
        </w:rPr>
        <w:t>관련 연구에서도 ‘-에’와 ‘-에서’의 대치 오류는 특정 언어권에만 국한되지 않고 여러 학습자에게서 나타나며, 모국어 간섭과 함께 한국어 조사 체계 자체의 복잡성이 원인으로 지적된다. 따라서 “장소니까 -에서”라는 단순 암기보다 동사의 의미와 결합 관계를 중심으로 가르치는 것이 필요하다. 예컨대 ‘학교에 있다/가다’, ‘학교에서 공부하다/운동하다’를 한 화면이나 표 안에서 대조하도록 하면 형태와 의미를 함께 연결할 수 있다.</w:t>
      </w:r>
    </w:p>
    <w:p>
      <w:pPr>
        <w:pStyle w:val="Heading2"/>
        <w:keepNext/>
      </w:pPr>
      <w:r>
        <w:t>3.3 어휘 결합 오류: “우산을 입었어요”</w:t>
      </w:r>
    </w:p>
    <w:p>
      <w:pPr>
        <w:spacing w:line="384" w:lineRule="auto" w:after="120"/>
        <w:ind w:firstLine="397"/>
      </w:pPr>
      <w:r>
        <w:rPr>
          <w:rFonts w:ascii="Malgun Gothic" w:hAnsi="Malgun Gothic" w:eastAsia="맑은 고딕"/>
          <w:b w:val="0"/>
        </w:rPr>
        <w:t>사례 3은 개별 단어의 사전적 의미는 알고 있으나 한국어에서 어떤 명사와 어떤 동사가 자연스럽게 결합하는지 충분히 습득하지 못해 발생한 오류이다. 한국어에서는 옷은 ‘입다’, 모자는 ‘쓰다’, 신발은 ‘신다’, 안경은 ‘쓰다/끼다’, 우산은 ‘쓰다’와 결합한다. 그러나 학습자가 모국어에서 이들을 하나의 포괄적 동사로 표현하는 경우 한국어에서도 동일한 방식으로 번역하여 사용할 수 있다.</w:t>
      </w:r>
    </w:p>
    <w:p>
      <w:pPr>
        <w:spacing w:line="384" w:lineRule="auto" w:after="120"/>
        <w:ind w:firstLine="397"/>
      </w:pPr>
      <w:r>
        <w:rPr>
          <w:rFonts w:ascii="Malgun Gothic" w:hAnsi="Malgun Gothic" w:eastAsia="맑은 고딕"/>
          <w:b w:val="0"/>
        </w:rPr>
        <w:t>이와 같은 오류는 어휘 교육에서 단어를 개별 항목으로만 제시했을 때 더욱 쉽게 나타난다. 따라서 ‘우산–쓰다’, ‘신발–신다’, ‘옷–입다’처럼 자주 함께 쓰이는 결합을 덩어리 단위로 제시하고, 사진이나 실제 사물을 활용해 행동과 함께 익히도록 하는 것이 바람직하다. 이는 단순한 단어 뜻 암기보다 실제 의사소통에서 더 안정적인 회상을 돕는다.</w:t>
      </w:r>
    </w:p>
    <w:p>
      <w:pPr>
        <w:pStyle w:val="Heading2"/>
        <w:keepNext/>
      </w:pPr>
      <w:r>
        <w:t>3.4 활용 오류: “매워지만 맛있어요”</w:t>
      </w:r>
    </w:p>
    <w:p>
      <w:pPr>
        <w:spacing w:line="384" w:lineRule="auto" w:after="120"/>
        <w:ind w:firstLine="397"/>
      </w:pPr>
      <w:r>
        <w:rPr>
          <w:rFonts w:ascii="Malgun Gothic" w:hAnsi="Malgun Gothic" w:eastAsia="맑은 고딕"/>
          <w:b w:val="0"/>
        </w:rPr>
        <w:t>사례 4는 형용사 ‘맵다’가 연결 어미 ‘-지만’과 결합할 때 ‘맵지만’으로 활용되어야 하는데, 학습자가 ‘매워요’의 활용형에 ‘-지만’을 그대로 덧붙여 ‘매워지만’이라고 만든 경우이다. 이는 학습자가 이미 알고 있는 활용형을 새로운 문법 항목에 과잉 적용한 전형적인 언어 내 오류로 볼 수 있다. 즉 모국어 간섭보다는 한국어 내부의 활용 규칙을 일반화하는 과정에서 발생한 오류에 가깝다.</w:t>
      </w:r>
    </w:p>
    <w:p>
      <w:pPr>
        <w:spacing w:line="384" w:lineRule="auto" w:after="120"/>
        <w:ind w:firstLine="397"/>
      </w:pPr>
      <w:r>
        <w:rPr>
          <w:rFonts w:ascii="Malgun Gothic" w:hAnsi="Malgun Gothic" w:eastAsia="맑은 고딕"/>
          <w:b w:val="0"/>
        </w:rPr>
        <w:t>이러한 오류를 줄이려면 종결형을 기준으로 다른 어미를 붙이게 하기보다 어간을 기준으로 활용하도록 지도해야 한다. ‘맵다→맵지만/매워요’, ‘춥다→춥지만/추워요’, ‘돕다→돕지만/도와요’와 같이 활용 계열을 함께 비교하면 학습자는 어미에 따라 형태가 달라지는 원리를 더 명확히 이해할 수 있다.</w:t>
      </w:r>
    </w:p>
    <w:p>
      <w:pPr>
        <w:pStyle w:val="Heading2"/>
        <w:keepNext/>
      </w:pPr>
      <w:r>
        <w:t>3.5 높임·화용 오류: 지나치게 격식적인 대답</w:t>
      </w:r>
    </w:p>
    <w:p>
      <w:pPr>
        <w:spacing w:line="384" w:lineRule="auto" w:after="120"/>
        <w:ind w:firstLine="397"/>
      </w:pPr>
      <w:r>
        <w:rPr>
          <w:rFonts w:ascii="Malgun Gothic" w:hAnsi="Malgun Gothic" w:eastAsia="맑은 고딕"/>
          <w:b w:val="0"/>
        </w:rPr>
        <w:t>사례 5는 문법적으로는 틀리지 않지만 대화 상황에 비해 높임 수준이 부자연스러운 경우이다. 친한 친구가 반말로 “밥 먹었어?”라고 물었는데 “네, 먹었습니다”라고 답한다면 의미는 전달되지만 관계와 상황에 적합한 말투라고 보기 어렵다. 외국인 학습자는 교실에서 ‘-습니다’체를 정확하고 정중한 표현으로 먼저 학습하기 때문에 실제 관계에 따라 말높임을 조절하는 데 어려움을 겪을 수 있다.</w:t>
      </w:r>
    </w:p>
    <w:p>
      <w:pPr>
        <w:spacing w:line="384" w:lineRule="auto" w:after="120"/>
        <w:ind w:firstLine="397"/>
      </w:pPr>
      <w:r>
        <w:rPr>
          <w:rFonts w:ascii="Malgun Gothic" w:hAnsi="Malgun Gothic" w:eastAsia="맑은 고딕"/>
          <w:b w:val="0"/>
        </w:rPr>
        <w:t>한국어의 높임 표현은 문법 형태뿐 아니라 화자와 청자의 나이, 친밀도, 사회적 관계, 공식성 등 사회문화적 요소와 밀접하게 관련된다. 따라서 문법적으로 맞는 문장을 만드는 연습과 더불어 “누구에게, 어디에서, 어떤 상황에서 말하는가”를 함께 판단하게 해야 한다. 친구, 교수, 직장 상사, 처음 만난 사람 등 역할을 바꾸어 같은 내용을 다른 말투로 표현하게 하는 역할극이 효과적이다.</w:t>
      </w:r>
    </w:p>
    <w:p>
      <w:pPr>
        <w:pStyle w:val="Heading2"/>
        <w:keepNext/>
      </w:pPr>
      <w:r>
        <w:t>3.6 발음 오류: 평음과 경음의 혼동</w:t>
      </w:r>
    </w:p>
    <w:p>
      <w:pPr>
        <w:spacing w:line="384" w:lineRule="auto" w:after="120"/>
        <w:ind w:firstLine="397"/>
      </w:pPr>
      <w:r>
        <w:rPr>
          <w:rFonts w:ascii="Malgun Gothic" w:hAnsi="Malgun Gothic" w:eastAsia="맑은 고딕"/>
          <w:b w:val="0"/>
        </w:rPr>
        <w:t>사례 6은 ‘달’을 [딸]처럼, ‘불’을 [뿔]처럼 발음하는 식의 평음·경음 혼동이다. 한국어의 평음·경음·격음 대립은 여러 언어에 동일한 방식으로 존재하지 않기 때문에 외국인 학습자에게 난도가 높다. 학습자는 자신의 모국어에 있는 가장 가까운 음가로 한국어 자음을 지각하고 발음하려는 경향이 있으며, 그 결과 ‘ㄷ/ㄸ/ㅌ’, ‘ㅂ/ㅃ/ㅍ’과 같은 삼중 대립을 충분히 구별하지 못할 수 있다.</w:t>
      </w:r>
    </w:p>
    <w:p>
      <w:pPr>
        <w:spacing w:line="384" w:lineRule="auto" w:after="120"/>
        <w:ind w:firstLine="397"/>
      </w:pPr>
      <w:r>
        <w:rPr>
          <w:rFonts w:ascii="Malgun Gothic" w:hAnsi="Malgun Gothic" w:eastAsia="맑은 고딕"/>
          <w:b w:val="0"/>
        </w:rPr>
        <w:t>발음 오류는 개별 음을 여러 번 따라 하게 하는 것만으로는 교정이 제한적일 수 있다. ‘달–딸’, ‘불–뿔’, ‘발–팔’과 같은 최소대립쌍을 활용해 듣기 변별과 발음을 함께 연습하고, 호흡의 세기나 성대 긴장 정도를 학습자가 직접 인식하도록 하는 활동이 필요하다. 국립국어원 해외 한국어 교사 자료에서도 평음·경음·격음의 차이는 외국인 학습자가 어려움을 겪는 대표적 발음 영역으로 다루어진다.</w:t>
      </w:r>
    </w:p>
    <w:p>
      <w:pPr>
        <w:pStyle w:val="Heading2"/>
        <w:keepNext/>
      </w:pPr>
      <w:r>
        <w:t>4. 오류 분석의 교육적 활용 방안</w:t>
      </w:r>
    </w:p>
    <w:p>
      <w:pPr>
        <w:spacing w:line="384" w:lineRule="auto" w:after="120"/>
        <w:ind w:firstLine="397"/>
      </w:pPr>
      <w:r>
        <w:rPr>
          <w:rFonts w:ascii="Malgun Gothic" w:hAnsi="Malgun Gothic" w:eastAsia="맑은 고딕"/>
          <w:b w:val="0"/>
        </w:rPr>
        <w:t>첫째, 오류를 학습자의 결함으로 평가하기보다 교수 내용을 조정하는 진단 자료로 활용해야 한다. 같은 조사 오류가 반복된다면 조사 정의를 다시 설명하는 것보다 어떤 동사와 함께 사용할 때 혼동이 생기는지를 확인한 뒤 대조 예문과 과제를 제공해야 한다. 시제 오류가 많다면 시간 부사와 종결 어미를 함께 묶어 연습시키는 등 오류 패턴에 따라 교육 내용을 재구성할 수 있다.</w:t>
      </w:r>
    </w:p>
    <w:p>
      <w:pPr>
        <w:spacing w:line="384" w:lineRule="auto" w:after="120"/>
        <w:ind w:firstLine="397"/>
      </w:pPr>
      <w:r>
        <w:rPr>
          <w:rFonts w:ascii="Malgun Gothic" w:hAnsi="Malgun Gothic" w:eastAsia="맑은 고딕"/>
          <w:b w:val="0"/>
        </w:rPr>
        <w:t>둘째, 오류 수정의 시점과 방식도 학습 목표에 따라 달라야 한다. 정확성을 목표로 하는 문법 연습에서는 즉각적인 피드백이 도움이 될 수 있지만, 자유 대화나 발표처럼 유창성이 중요한 활동에서는 발화를 자주 중단시키기보다 활동이 끝난 뒤 대표 오류를 정리해 피드백하는 것이 바람직하다. 오류를 모두 교정하려 하면 학습자가 말하기를 회피할 수 있으므로 의사소통을 크게 방해하는 오류, 반복적으로 나타나는 오류, 학습 목표와 직접 관련된 오류를 우선적으로 다루는 전략이 필요하다.</w:t>
      </w:r>
    </w:p>
    <w:p>
      <w:pPr>
        <w:spacing w:line="384" w:lineRule="auto" w:after="120"/>
        <w:ind w:firstLine="397"/>
      </w:pPr>
      <w:r>
        <w:rPr>
          <w:rFonts w:ascii="Malgun Gothic" w:hAnsi="Malgun Gothic" w:eastAsia="맑은 고딕"/>
          <w:b w:val="0"/>
        </w:rPr>
        <w:t>셋째, 미디어 자료를 오류 분석 활동에 적극 활용할 수 있다. 외국인 출연자의 발화를 무조건 “틀린 말”로 평가하는 방식은 지양해야 하며, 학습자의 수준과 상황을 고려하여 자연스러운 표현과 비교하는 자료로 활용해야 한다. 예를 들어 짧은 인터뷰 영상을 본 뒤 학습자가 스스로 어색한 표현을 찾아 수정하고, 왜 그런 표현이 나왔는지 추론하게 하면 문법 지식뿐 아니라 언어 인식 능력도 높일 수 있다. 이때 특정 인물이나 국적을 희화화하지 않고 오류를 자연스러운 학습 과정으로 다루는 태도가 중요하다.</w:t>
      </w:r>
    </w:p>
    <w:p>
      <w:pPr>
        <w:pStyle w:val="Heading1"/>
        <w:keepNext/>
      </w:pPr>
      <w:r>
        <w:t>Ⅲ. 결론</w:t>
      </w:r>
    </w:p>
    <w:p>
      <w:pPr>
        <w:spacing w:line="384" w:lineRule="auto" w:after="120"/>
        <w:ind w:firstLine="397"/>
      </w:pPr>
      <w:r>
        <w:rPr>
          <w:rFonts w:ascii="Malgun Gothic" w:hAnsi="Malgun Gothic" w:eastAsia="맑은 고딕"/>
          <w:b w:val="0"/>
        </w:rPr>
        <w:t>외국인 학습자의 한국어 오류는 발음, 문법, 어휘, 화용 등 다양한 층위에서 나타나며, 하나의 원인으로만 설명하기 어렵다. 본 과제에서 살펴본 시제 오류는 시간 표현과 시제 어미의 연결 문제, 조사 오류는 모국어 간섭과 한국어 조사 체계의 복잡성, 어휘 결합 오류는 연어 지식의 부족, 활용 오류는 한국어 규칙의 과잉 일반화, 높임 오류는 사회문화적 맥락에 대한 이해 부족, 발음 오류는 언어 간 음운 체계 차이와 밀접하게 관련되어 있었다.</w:t>
      </w:r>
    </w:p>
    <w:p>
      <w:pPr>
        <w:spacing w:line="384" w:lineRule="auto" w:after="120"/>
        <w:ind w:firstLine="397"/>
      </w:pPr>
      <w:r>
        <w:rPr>
          <w:rFonts w:ascii="Malgun Gothic" w:hAnsi="Malgun Gothic" w:eastAsia="맑은 고딕"/>
          <w:b w:val="0"/>
        </w:rPr>
        <w:t>따라서 한국어 교육에서는 오류를 단순히 정답과 오답의 관점에서 처리하기보다 학습자의 중간언어가 어떤 원리로 형성되고 있는지를 보여 주는 자료로 해석해야 한다. 교사는 오류의 반복성, 의사소통 영향, 학습자의 모국어, 목표 문법과의 관련성을 종합적으로 살펴 선택적으로 피드백해야 하며, 실제 미디어와 일상 자료를 활용해 학습자가 스스로 오류를 발견하고 수정하는 경험을 제공할 필요가 있다. 이러한 접근은 학습자의 정확성을 높이는 동시에 실수를 두려워하지 않고 실제 의사소통에 참여하도록 돕는다는 점에서 의미가 있다.</w:t>
      </w:r>
    </w:p>
    <w:p>
      <w:pPr>
        <w:pStyle w:val="Heading1"/>
        <w:keepNext/>
      </w:pPr>
      <w:r>
        <w:t>참고문헌</w:t>
      </w:r>
    </w:p>
    <w:p>
      <w:pPr>
        <w:spacing w:after="100"/>
        <w:ind w:hanging="397" w:left="397"/>
      </w:pPr>
      <w:r>
        <w:t>국립국어원. (2002). 『한국어 학습자의 오류 유형 조사 연구』. 문화관광부.</w:t>
      </w:r>
    </w:p>
    <w:p>
      <w:pPr>
        <w:spacing w:after="100"/>
        <w:ind w:hanging="397" w:left="397"/>
      </w:pPr>
      <w:r>
        <w:t>허용 외. (2005). 『외국어로서의 한국어교육학 개론』. 박이정.</w:t>
      </w:r>
    </w:p>
    <w:p>
      <w:pPr>
        <w:spacing w:after="100"/>
        <w:ind w:hanging="397" w:left="397"/>
      </w:pPr>
      <w:r>
        <w:t>김경철. (2008). 「중국어화자의 한국어 쓰기 오류실태: 모국어 간섭현상을 중심으로」. 『중국과 중국학』.</w:t>
      </w:r>
    </w:p>
    <w:p>
      <w:pPr>
        <w:spacing w:after="100"/>
        <w:ind w:hanging="397" w:left="397"/>
      </w:pPr>
      <w:r>
        <w:t>국립국어원. (2008). 『국외 한국어 교사를 위한 한국어 강의 자료집』.</w:t>
      </w:r>
    </w:p>
    <w:p>
      <w:pPr>
        <w:spacing w:after="100"/>
        <w:ind w:hanging="397" w:left="397"/>
      </w:pPr>
      <w:r>
        <w:t>국립국어원. (2015). 『새국어생활』 25(1).</w:t>
      </w:r>
    </w:p>
    <w:p>
      <w:pPr>
        <w:spacing w:after="100"/>
        <w:ind w:hanging="397" w:left="397"/>
      </w:pPr>
      <w:r>
        <w:t>양명희. (2024). 「베트남인 학습자를 위한 한국어교육 연구 동향」. 『비교문화연구』.</w:t>
      </w:r>
    </w:p>
    <w:p>
      <w:r>
        <w:br w:type="page"/>
      </w:r>
    </w:p>
    <w:p>
      <w:pPr>
        <w:spacing w:before="400" w:after="360"/>
        <w:jc w:val="center"/>
      </w:pPr>
      <w:r>
        <w:rPr>
          <w:b/>
          <w:color w:val="B43C32"/>
          <w:sz w:val="36"/>
        </w:rPr>
        <w:t>주의사항 및 과제 수정 안내</w:t>
      </w:r>
    </w:p>
    <w:tbl>
      <w:tblPr>
        <w:tblStyle w:val="TableGrid"/>
        <w:tblW w:type="auto" w:w="0"/>
        <w:jc w:val="center"/>
        <w:tblLook w:firstColumn="1" w:firstRow="1" w:lastColumn="0" w:lastRow="0" w:noHBand="0" w:noVBand="1" w:val="04A0"/>
      </w:tblPr>
      <w:tblGrid>
        <w:gridCol w:w="9406"/>
      </w:tblGrid>
      <w:tr>
        <w:tc>
          <w:tcPr>
            <w:tcW w:type="dxa" w:w="9406"/>
            <w:shd w:fill="FFF3F1"/>
          </w:tcPr>
          <w:p>
            <w:pPr>
              <w:spacing w:after="160"/>
            </w:pPr>
            <w:r>
              <w:rPr>
                <w:rFonts w:ascii="Malgun Gothic" w:hAnsi="Malgun Gothic" w:eastAsia="맑은 고딕"/>
                <w:b/>
                <w:sz w:val="26"/>
              </w:rPr>
              <w:t>⚠ 주의사항</w:t>
            </w:r>
          </w:p>
          <w:p>
            <w:pPr>
              <w:spacing w:after="60"/>
            </w:pPr>
            <w:r>
              <w:rPr>
                <w:rFonts w:ascii="Malgun Gothic" w:hAnsi="Malgun Gothic" w:eastAsia="맑은 고딕"/>
                <w:sz w:val="22"/>
              </w:rPr>
              <w:t>본 자료는 학점은행제 과제 참고용 샘플입니다.</w:t>
            </w:r>
          </w:p>
          <w:p>
            <w:pPr>
              <w:spacing w:after="60"/>
            </w:pPr>
            <w:r>
              <w:rPr>
                <w:rFonts w:ascii="Malgun Gothic" w:hAnsi="Malgun Gothic" w:eastAsia="맑은 고딕"/>
                <w:sz w:val="22"/>
              </w:rPr>
              <w:t>위 학습 자료를 그대로 제출할 경우 모사율(표절률)로 인하여</w:t>
            </w:r>
          </w:p>
          <w:p>
            <w:pPr>
              <w:spacing w:after="60"/>
            </w:pPr>
            <w:r>
              <w:rPr>
                <w:rFonts w:ascii="Malgun Gothic" w:hAnsi="Malgun Gothic" w:eastAsia="맑은 고딕"/>
                <w:sz w:val="22"/>
              </w:rPr>
              <w:t>성적 불이익 또는 해당 과목 0점 처리될 수 있습니다.</w:t>
            </w:r>
          </w:p>
          <w:p>
            <w:pPr>
              <w:spacing w:after="60"/>
            </w:pPr>
            <w:r>
              <w:rPr>
                <w:rFonts w:ascii="Malgun Gothic" w:hAnsi="Malgun Gothic" w:eastAsia="맑은 고딕"/>
                <w:sz w:val="22"/>
              </w:rPr>
              <w:t>반드시 본인의 언어로 수정·재작성하여 제출하시기 바랍니다.</w:t>
            </w:r>
          </w:p>
        </w:tc>
      </w:tr>
    </w:tbl>
    <w:p>
      <w:pPr>
        <w:spacing w:before="480" w:after="160"/>
      </w:pPr>
      <w:r>
        <w:rPr>
          <w:b/>
          <w:color w:val="18436F"/>
          <w:sz w:val="28"/>
        </w:rPr>
        <w:t>과제 수정이 어려우신가요?</w:t>
      </w:r>
    </w:p>
    <w:p>
      <w:pPr>
        <w:spacing w:line="384" w:lineRule="auto" w:after="120"/>
      </w:pPr>
      <w:r>
        <w:rPr>
          <w:rFonts w:ascii="Malgun Gothic" w:hAnsi="Malgun Gothic" w:eastAsia="맑은 고딕"/>
          <w:b w:val="0"/>
        </w:rPr>
        <w:t>국민원격교육관리센터에서 1:1 과제 수정 도움을 드립니다.</w:t>
        <w:br/>
        <w:t>아래 연락처로 문의해 주세요.</w:t>
      </w:r>
    </w:p>
    <w:p>
      <w:pPr>
        <w:spacing w:after="140"/>
        <w:ind w:left="227"/>
      </w:pPr>
      <w:r>
        <w:rPr>
          <w:rFonts w:ascii="Malgun Gothic" w:hAnsi="Malgun Gothic" w:eastAsia="맑은 고딕"/>
          <w:b/>
          <w:sz w:val="22"/>
        </w:rPr>
        <w:t>전화: 050-7878-7044</w:t>
      </w:r>
    </w:p>
    <w:p>
      <w:pPr>
        <w:spacing w:after="140"/>
        <w:ind w:left="227"/>
      </w:pPr>
      <w:r>
        <w:rPr>
          <w:rFonts w:ascii="Malgun Gothic" w:hAnsi="Malgun Gothic" w:eastAsia="맑은 고딕"/>
          <w:b/>
          <w:sz w:val="22"/>
        </w:rPr>
        <w:t>카카오톡: @국민원격교육관리센터</w:t>
      </w:r>
    </w:p>
    <w:p>
      <w:pPr>
        <w:spacing w:after="140"/>
        <w:ind w:left="227"/>
      </w:pPr>
      <w:r>
        <w:rPr>
          <w:rFonts w:ascii="Malgun Gothic" w:hAnsi="Malgun Gothic" w:eastAsia="맑은 고딕"/>
          <w:b/>
          <w:sz w:val="22"/>
        </w:rPr>
        <w:t>운영시간: 평일 10:00–19:00</w:t>
      </w:r>
    </w:p>
    <w:p>
      <w:pPr>
        <w:spacing w:after="140"/>
        <w:ind w:left="227"/>
      </w:pPr>
      <w:r>
        <w:rPr>
          <w:rFonts w:ascii="Malgun Gothic" w:hAnsi="Malgun Gothic" w:eastAsia="맑은 고딕"/>
          <w:b/>
          <w:sz w:val="22"/>
        </w:rPr>
        <w:t>웹사이트: korealms.co.kr</w:t>
      </w:r>
    </w:p>
    <w:sectPr w:rsidR="00FC693F" w:rsidRPr="0006063C" w:rsidSect="00034616">
      <w:pgSz w:w="12240" w:h="15840"/>
      <w:pgMar w:top="1304"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60"/>
      <w:outlineLvl w:val="0"/>
    </w:pPr>
    <w:rPr>
      <w:rFonts w:asciiTheme="majorHAnsi" w:eastAsiaTheme="majorEastAsia" w:hAnsiTheme="majorHAnsi" w:cstheme="majorBidi" w:ascii="Malgun Gothic" w:hAnsi="Malgun Gothic" w:eastAsia="맑은 고딕"/>
      <w:b/>
      <w:bCs/>
      <w:color w:val="18436F"/>
      <w:sz w:val="30"/>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ascii="Malgun Gothic" w:hAnsi="Malgun Gothic" w:eastAsia="맑은 고딕"/>
      <w:b/>
      <w:bCs/>
      <w:color w:val="30598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Malgun Gothic" w:hAnsi="Malgun Gothic" w:eastAsia="맑은 고딕"/>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