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360" w:line="384" w:lineRule="auto"/>
        <w:jc w:val="center"/>
      </w:pPr>
      <w:r>
        <w:rPr>
          <w:rFonts w:ascii="NanumSquare" w:hAnsi="NanumSquare" w:eastAsia="나눔스퀘어"/>
          <w:b/>
          <w:sz w:val="24"/>
        </w:rPr>
        <w:t>사회복지행정론</w:t>
      </w:r>
    </w:p>
    <w:p>
      <w:pPr>
        <w:spacing w:before="0" w:after="160" w:line="288" w:lineRule="auto"/>
        <w:jc w:val="center"/>
      </w:pPr>
      <w:r>
        <w:rPr>
          <w:rFonts w:ascii="NanumSquare" w:hAnsi="NanumSquare" w:eastAsia="나눔스퀘어"/>
          <w:b/>
          <w:sz w:val="48"/>
        </w:rPr>
        <w:t>복지기관 홈페이지 분석 과제</w:t>
      </w:r>
    </w:p>
    <w:p>
      <w:pPr>
        <w:spacing w:before="0" w:after="440" w:line="312" w:lineRule="auto"/>
        <w:jc w:val="center"/>
      </w:pPr>
      <w:r>
        <w:rPr>
          <w:rFonts w:ascii="NanumSquare" w:hAnsi="NanumSquare" w:eastAsia="나눔스퀘어"/>
          <w:b/>
          <w:sz w:val="30"/>
        </w:rPr>
        <w:t>서울노인복지센터의 기관 분석과 발전 방향</w:t>
      </w:r>
    </w:p>
    <w:p>
      <w:pPr>
        <w:spacing w:after="360"/>
        <w:jc w:val="center"/>
      </w:pPr>
      <w:r>
        <w:rPr>
          <w:color w:val="56748F"/>
          <w:sz w:val="16"/>
        </w:rPr>
        <w:t>━━━━━━━━━━━━━━━━━━━━━━━━━━━━━━━━━━━━━━</w:t>
      </w:r>
    </w:p>
    <w:p>
      <w:pPr>
        <w:spacing w:before="0" w:after="200" w:line="384" w:lineRule="auto"/>
        <w:jc w:val="center"/>
      </w:pPr>
      <w:r>
        <w:rPr>
          <w:rFonts w:ascii="NanumSquare" w:hAnsi="NanumSquare" w:eastAsia="나눔스퀘어"/>
          <w:b/>
          <w:sz w:val="28"/>
        </w:rPr>
        <w:t>목 차</w:t>
      </w:r>
    </w:p>
    <w:p>
      <w:pPr>
        <w:spacing w:before="0" w:after="100" w:line="324" w:lineRule="auto"/>
        <w:jc w:val="left"/>
      </w:pPr>
      <w:r>
        <w:rPr>
          <w:rFonts w:ascii="NanumSquare" w:hAnsi="NanumSquare" w:eastAsia="나눔스퀘어"/>
          <w:b w:val="0"/>
          <w:sz w:val="21"/>
        </w:rPr>
        <w:t>Ⅰ. 서론</w:t>
      </w:r>
    </w:p>
    <w:p>
      <w:pPr>
        <w:spacing w:before="0" w:after="100" w:line="324" w:lineRule="auto"/>
        <w:jc w:val="left"/>
      </w:pPr>
      <w:r>
        <w:rPr>
          <w:rFonts w:ascii="NanumSquare" w:hAnsi="NanumSquare" w:eastAsia="나눔스퀘어"/>
          <w:b w:val="0"/>
          <w:sz w:val="21"/>
        </w:rPr>
        <w:t>Ⅱ. 본론</w:t>
      </w:r>
    </w:p>
    <w:p>
      <w:pPr>
        <w:spacing w:before="0" w:after="100" w:line="324" w:lineRule="auto"/>
        <w:jc w:val="left"/>
      </w:pPr>
      <w:r>
        <w:rPr>
          <w:rFonts w:ascii="NanumSquare" w:hAnsi="NanumSquare" w:eastAsia="나눔스퀘어"/>
          <w:b w:val="0"/>
          <w:sz w:val="21"/>
        </w:rPr>
        <w:t xml:space="preserve">   1. 기관 선정 배경 및 기관 개요</w:t>
      </w:r>
    </w:p>
    <w:p>
      <w:pPr>
        <w:spacing w:before="0" w:after="100" w:line="324" w:lineRule="auto"/>
        <w:jc w:val="left"/>
      </w:pPr>
      <w:r>
        <w:rPr>
          <w:rFonts w:ascii="NanumSquare" w:hAnsi="NanumSquare" w:eastAsia="나눔스퀘어"/>
          <w:b w:val="0"/>
          <w:sz w:val="21"/>
        </w:rPr>
        <w:t xml:space="preserve">   2. 홈페이지를 통해 본 주요 사업과 운영 특성</w:t>
      </w:r>
    </w:p>
    <w:p>
      <w:pPr>
        <w:spacing w:before="0" w:after="100" w:line="324" w:lineRule="auto"/>
        <w:jc w:val="left"/>
      </w:pPr>
      <w:r>
        <w:rPr>
          <w:rFonts w:ascii="NanumSquare" w:hAnsi="NanumSquare" w:eastAsia="나눔스퀘어"/>
          <w:b w:val="0"/>
          <w:sz w:val="21"/>
        </w:rPr>
        <w:t xml:space="preserve">   3. 기관의 강점과 개선이 필요한 부분</w:t>
      </w:r>
    </w:p>
    <w:p>
      <w:pPr>
        <w:spacing w:before="0" w:after="100" w:line="324" w:lineRule="auto"/>
        <w:jc w:val="left"/>
      </w:pPr>
      <w:r>
        <w:rPr>
          <w:rFonts w:ascii="NanumSquare" w:hAnsi="NanumSquare" w:eastAsia="나눔스퀘어"/>
          <w:b w:val="0"/>
          <w:sz w:val="21"/>
        </w:rPr>
        <w:t xml:space="preserve">   4. 서울노인복지센터의 발전 방향</w:t>
      </w:r>
    </w:p>
    <w:p>
      <w:pPr>
        <w:spacing w:before="0" w:after="100" w:line="324" w:lineRule="auto"/>
        <w:jc w:val="left"/>
      </w:pPr>
      <w:r>
        <w:rPr>
          <w:rFonts w:ascii="NanumSquare" w:hAnsi="NanumSquare" w:eastAsia="나눔스퀘어"/>
          <w:b w:val="0"/>
          <w:sz w:val="21"/>
        </w:rPr>
        <w:t>Ⅲ. 결론</w:t>
      </w:r>
    </w:p>
    <w:p>
      <w:pPr>
        <w:spacing w:before="0" w:after="100" w:line="324" w:lineRule="auto"/>
        <w:jc w:val="left"/>
      </w:pPr>
      <w:r>
        <w:rPr>
          <w:rFonts w:ascii="NanumSquare" w:hAnsi="NanumSquare" w:eastAsia="나눔스퀘어"/>
          <w:b w:val="0"/>
          <w:sz w:val="21"/>
        </w:rPr>
        <w:t>참고문헌</w:t>
      </w:r>
    </w:p>
    <w:p>
      <w:r>
        <w:br w:type="page"/>
      </w:r>
    </w:p>
    <w:p>
      <w:pPr>
        <w:pStyle w:val="Heading1"/>
        <w:spacing w:before="120" w:after="100"/>
      </w:pPr>
      <w:r>
        <w:t>Ⅰ. 서론</w:t>
      </w:r>
    </w:p>
    <w:p>
      <w:pPr>
        <w:spacing w:before="0" w:after="80" w:line="384" w:lineRule="auto"/>
        <w:ind w:firstLine="397"/>
      </w:pPr>
      <w:r>
        <w:rPr>
          <w:rFonts w:ascii="NanumSquare" w:hAnsi="NanumSquare" w:eastAsia="나눔스퀘어"/>
          <w:b w:val="0"/>
          <w:sz w:val="20"/>
        </w:rPr>
        <w:t>우리 사회는 고령인구의 증가와 가족구조의 변화로 노인복지에 대한 요구가 빠르게 다양해지고 있다. 과거의 노인복지가 생계지원이나 보호 중심이었다면, 현재는 건강관리, 평생교육, 사회참여, 일자리, 정서지원, 디지털 적응 등 노년기의 삶 전반을 포괄하는 방향으로 확대되고 있다. 따라서 지역사회 노인복지기관은 단순히 서비스를 제공하는 장소를 넘어 노인이 자신의 경험과 역량을 활용하고 지역사회 구성원으로 참여할 수 있도록 돕는 거점으로 기능할 필요가 있다.</w:t>
      </w:r>
    </w:p>
    <w:p>
      <w:pPr>
        <w:spacing w:before="0" w:after="80" w:line="384" w:lineRule="auto"/>
        <w:ind w:firstLine="397"/>
      </w:pPr>
      <w:r>
        <w:rPr>
          <w:rFonts w:ascii="NanumSquare" w:hAnsi="NanumSquare" w:eastAsia="나눔스퀘어"/>
          <w:b w:val="0"/>
          <w:sz w:val="20"/>
        </w:rPr>
        <w:t>본 과제에서는 노인복지 분야에 대한 관심을 바탕으로 서울특별시 종로구에 위치한 서울노인복지센터를 선정하여 홈페이지에 공개된 기관 소개, 사업 내용, 최근 프로그램을 살펴보고 기관의 운영 특성과 강점 및 한계를 분석하고자 한다. 서울노인복지센터는 서울시 거주 60세 이상 어르신을 대상으로 회원제를 운영하며, 생활·건강·문화·일과 봉사 영역의 복지사업과 세대통합형 지역사회복지사업을 함께 수행하고 있다. 이러한 특성은 현대 노인복지가 지향하는 적극적 노화와 사회참여의 관점에서 살펴볼 가치가 있다고 판단하였다.</w:t>
      </w:r>
    </w:p>
    <w:p>
      <w:pPr>
        <w:pStyle w:val="Heading1"/>
        <w:spacing w:before="120" w:after="100"/>
      </w:pPr>
      <w:r>
        <w:t>Ⅱ. 본론</w:t>
      </w:r>
    </w:p>
    <w:p>
      <w:pPr>
        <w:pStyle w:val="Heading2"/>
        <w:spacing w:before="80" w:after="100"/>
      </w:pPr>
      <w:r>
        <w:t>1. 기관 선정 배경 및 기관 개요</w:t>
      </w:r>
    </w:p>
    <w:p>
      <w:pPr>
        <w:spacing w:before="0" w:after="80" w:line="384" w:lineRule="auto"/>
        <w:ind w:firstLine="397"/>
      </w:pPr>
      <w:r>
        <w:rPr>
          <w:rFonts w:ascii="NanumSquare" w:hAnsi="NanumSquare" w:eastAsia="나눔스퀘어"/>
          <w:b w:val="0"/>
          <w:sz w:val="20"/>
        </w:rPr>
        <w:t>서울노인복지센터는 탑골공원 일대의 노인문화와 복지 수요를 기반으로 노인문제 해결과 노인문화 발전을 목적으로 설립된 기관이다. 홈페이지에서는 기관을 ‘선배시민이 참여하고, 배우고, 나누는’ 공간으로 소개하고 있으며, 서울특별시 종로구 삼일대로 467에 위치한다. 서울시는 2026년 기준 서울노인복지센터를 포함하여 총 95개의 노인복지관을 운영 현황에 포함하고 있다. 이는 서울노인복지센터가 특정 프로그램만을 수행하는 단일 목적 시설이 아니라, 광역도시의 노인복지 전달체계 안에서 다양한 욕구를 통합적으로 다루는 종합적 복지기관이라는 점을 보여준다.</w:t>
      </w:r>
    </w:p>
    <w:p>
      <w:pPr>
        <w:spacing w:before="0" w:after="80" w:line="384" w:lineRule="auto"/>
        <w:ind w:firstLine="397"/>
      </w:pPr>
      <w:r>
        <w:rPr>
          <w:rFonts w:ascii="NanumSquare" w:hAnsi="NanumSquare" w:eastAsia="나눔스퀘어"/>
          <w:b w:val="0"/>
          <w:sz w:val="20"/>
        </w:rPr>
        <w:t>센터는 상담 및 권익옹호, 급식과 생활지원, 건강관리, 평생교육과 문화활동, 취업지원과 노인사회활동, 자원봉사, 스마트복지, 서울국제노인영화제와 탑골미술관 등의 지역사회 문화사업을 운영하고 있다. 또한 서울시 어르신상담센터와 분관을 두고 있어 일반적인 복지관 서비스뿐 아니라 전문상담과 지역 확장 기능까지 수행하고 있다. 기관의 조직도 역시 2026년 1월 1일 기준으로 공개되어 있어 운영의 기본적인 투명성을 확보하고 있다는 점도 확인할 수 있다.</w:t>
      </w:r>
    </w:p>
    <w:p>
      <w:r>
        <w:br w:type="page"/>
      </w:r>
    </w:p>
    <w:p>
      <w:pPr>
        <w:pStyle w:val="Heading2"/>
        <w:spacing w:before="80" w:after="100"/>
      </w:pPr>
      <w:r>
        <w:t>2. 홈페이지를 통해 본 주요 사업과 운영 특성</w:t>
      </w:r>
    </w:p>
    <w:p>
      <w:pPr>
        <w:spacing w:before="0" w:after="80" w:line="384" w:lineRule="auto"/>
        <w:ind w:firstLine="397"/>
      </w:pPr>
      <w:r>
        <w:rPr>
          <w:rFonts w:ascii="NanumSquare" w:hAnsi="NanumSquare" w:eastAsia="나눔스퀘어"/>
          <w:b w:val="0"/>
          <w:sz w:val="20"/>
        </w:rPr>
        <w:t>첫째, 생활지원 영역에서는 경로급식과 영양교육·상담을 운영하고 있다. 일반 회원을 위한 식사 제공뿐 아니라 기초생활수급자, 차상위계층 등 취약계층을 위한 무료급식 절차를 마련하고 있으며, 정기적인 맞춤형 영양식 제공과 영양상담을 통해 단순 급식을 넘어 건강한 식생활을 지원하고 있다. 이는 노년기의 영양불균형과 만성질환 위험을 고려한 예방적 복지의 성격을 가진다.</w:t>
      </w:r>
    </w:p>
    <w:p>
      <w:pPr>
        <w:spacing w:before="0" w:after="80" w:line="384" w:lineRule="auto"/>
        <w:ind w:firstLine="397"/>
      </w:pPr>
      <w:r>
        <w:rPr>
          <w:rFonts w:ascii="NanumSquare" w:hAnsi="NanumSquare" w:eastAsia="나눔스퀘어"/>
          <w:b w:val="0"/>
          <w:sz w:val="20"/>
        </w:rPr>
        <w:t>둘째, 건강지원 영역에서는 혈압·혈당·체성분 측정과 간호사 건강상담, 응급처치, 건강정보 제공 등을 운영한다. 홈페이지는 ‘주체적인 건강관리’와 ‘개인 맞춤형 건강서비스’를 강조하고 있는데, 이는 노인을 수동적인 보호 대상이 아니라 자신의 건강을 관리할 수 있는 주체로 바라보는 접근이다. 복지관이 의료기관을 대체할 수는 없지만, 일상생활 속에서 위험요인을 조기에 발견하고 적절한 전문기관으로 연계하는 역할은 지역사회 건강관리 측면에서 중요하다.</w:t>
      </w:r>
    </w:p>
    <w:p>
      <w:pPr>
        <w:spacing w:before="0" w:after="80" w:line="384" w:lineRule="auto"/>
        <w:ind w:firstLine="397"/>
      </w:pPr>
      <w:r>
        <w:rPr>
          <w:rFonts w:ascii="NanumSquare" w:hAnsi="NanumSquare" w:eastAsia="나눔스퀘어"/>
          <w:b w:val="0"/>
          <w:sz w:val="20"/>
        </w:rPr>
        <w:t>셋째, 문화·교육 영역은 어학, 인문학, 문화예술, 철학, 정보화교육, 동아리 활동 등으로 구성되어 있다. 특히 최근 홈페이지에는 AI와 미디어 변화에 관한 강좌, 스마트폰 1:1 맞춤형 교육, AI 코칭 등의 프로그램이 안내되고 있다. 이는 노년층의 디지털 격차가 금융, 교통, 의료, 행정서비스 이용의 격차로 이어질 수 있는 현실을 반영한 것으로 평가할 수 있다. 또한 서울국제노인영화제와 탑골미술관은 노인을 문화의 소비자에 머무르게 하지 않고 문화 생산과 세대 간 소통의 주체로 참여시키는 특징을 보인다.</w:t>
      </w:r>
    </w:p>
    <w:p>
      <w:pPr>
        <w:spacing w:before="0" w:after="80" w:line="384" w:lineRule="auto"/>
        <w:ind w:firstLine="397"/>
      </w:pPr>
      <w:r>
        <w:rPr>
          <w:rFonts w:ascii="NanumSquare" w:hAnsi="NanumSquare" w:eastAsia="나눔스퀘어"/>
          <w:b w:val="0"/>
          <w:sz w:val="20"/>
        </w:rPr>
        <w:t>넷째, 일과 봉사 영역에서는 55세 이상 구직자를 대상으로 1:1 취업상담, 직업탐색과 역량강화 교육, 일자리 정보 제공, 면접과 이력서 작성 지원, 취업 후 사후관리를 제공한다. 2026년 홈페이지에는 취업준비교육과 시니어 배송원 양성교육 등도 공지되어 있다. 이러한 사업은 노인의 경제적 욕구뿐 아니라 역할 상실을 완화하고 사회적 관계와 자기효능감을 높인다는 점에서 의미가 있다.</w:t>
      </w:r>
    </w:p>
    <w:p>
      <w:pPr>
        <w:pStyle w:val="Heading2"/>
        <w:spacing w:before="80" w:after="100"/>
      </w:pPr>
      <w:r>
        <w:t>3. 기관의 강점과 개선이 필요한 부분</w:t>
      </w:r>
    </w:p>
    <w:p>
      <w:pPr>
        <w:spacing w:before="0" w:after="80" w:line="384" w:lineRule="auto"/>
        <w:ind w:firstLine="397"/>
      </w:pPr>
      <w:r>
        <w:rPr>
          <w:rFonts w:ascii="NanumSquare" w:hAnsi="NanumSquare" w:eastAsia="나눔스퀘어"/>
          <w:b w:val="0"/>
          <w:sz w:val="20"/>
        </w:rPr>
        <w:t>서울노인복지센터의 가장 큰 강점은 노인의 욕구를 생활, 건강, 문화, 일자리, 관계, 권익이라는 여러 영역으로 나누면서도 한 기관 안에서 연계할 수 있는 종합성에 있다. 또한 ‘선배시민’이라는 관점을 통해 노인을 도움을 받는 사람으로만 규정하지 않고 경험과 능력을 지역사회에 환원할 수 있는 시민으로 바라본다는 점도 긍정적이다. 세대통합 문화사업과 디지털 교육을 지속적으로 확대하는 모습은 변화하는 노년층의 특성을 비교적 적극적으로 반영한 사례라고 볼 수 있다.</w:t>
      </w:r>
    </w:p>
    <w:p>
      <w:pPr>
        <w:spacing w:before="0" w:after="80" w:line="384" w:lineRule="auto"/>
        <w:ind w:firstLine="397"/>
      </w:pPr>
      <w:r>
        <w:rPr>
          <w:rFonts w:ascii="NanumSquare" w:hAnsi="NanumSquare" w:eastAsia="나눔스퀘어"/>
          <w:b w:val="0"/>
          <w:sz w:val="20"/>
        </w:rPr>
        <w:t>반면 홈페이지를 기준으로 분석할 때 개선이 필요한 부분도 예상할 수 있다. 프로그램 종류가 매우 많기 때문에 처음 이용하는 노인이 자신에게 필요한 서비스를 스스로 찾아 선택하기 어려울 수 있으며, 온라인 신청과 디지털 안내가 확대될수록 스마트기기 사용이 익숙하지 않은 고령자에게 새로운 접근 장벽이 될 가능성도 있다. 또한 복지관에 직접 방문하기 어려운 거동 불편 노인이나 고립 위험이 높은 노인의 경우 시설 중심 서비스만으로는 충분히 접근하기 어렵다. 따라서 향후에는 프로그램의 양적 확대보다 이용자의 상황에 따른 통합적 안내와 찾아가는 서비스의 강화가 중요하다.</w:t>
      </w:r>
    </w:p>
    <w:p>
      <w:r>
        <w:br w:type="page"/>
      </w:r>
    </w:p>
    <w:p>
      <w:pPr>
        <w:pStyle w:val="Heading2"/>
        <w:spacing w:before="80" w:after="100"/>
      </w:pPr>
      <w:r>
        <w:t>4. 서울노인복지센터의 발전 방향</w:t>
      </w:r>
    </w:p>
    <w:p>
      <w:pPr>
        <w:spacing w:before="0" w:after="80" w:line="384" w:lineRule="auto"/>
        <w:ind w:firstLine="397"/>
      </w:pPr>
      <w:r>
        <w:rPr>
          <w:rFonts w:ascii="NanumSquare" w:hAnsi="NanumSquare" w:eastAsia="나눔스퀘어"/>
          <w:b w:val="0"/>
          <w:sz w:val="20"/>
        </w:rPr>
        <w:t>첫째, 이용자 욕구를 중심으로 한 통합사례관리와 서비스 안내체계를 강화할 필요가 있다. 신규회원 상담 단계에서 건강, 경제, 주거, 사회관계, 디지털 활용, 취업 욕구 등을 간단히 파악하고, 결과에 따라 개인별 권장 프로그램을 안내하는 방식이 효과적이다. 프로그램 담당 부서가 다르더라도 이용자 관점에서는 하나의 기관이므로 부서 간 정보 공유와 연계가 이루어져야 한다. 특히 사회적 고립, 우울, 만성질환, 경제적 어려움이 동시에 나타나는 경우 지역 보건소, 정신건강복지센터, 의료기관, 동주민센터 등과의 연계가 필요하다. 이는 서울시가 2026년 복지정책에서 강조하고 있는 사회적 고립 해소와 통합돌봄 강화 방향과도 연결된다.</w:t>
      </w:r>
    </w:p>
    <w:p>
      <w:pPr>
        <w:spacing w:before="0" w:after="80" w:line="384" w:lineRule="auto"/>
        <w:ind w:firstLine="397"/>
      </w:pPr>
      <w:r>
        <w:rPr>
          <w:rFonts w:ascii="NanumSquare" w:hAnsi="NanumSquare" w:eastAsia="나눔스퀘어"/>
          <w:b w:val="0"/>
          <w:sz w:val="20"/>
        </w:rPr>
        <w:t>둘째, 디지털복지는 단순한 스마트폰 사용교육에서 ‘디지털 생활권 보장’의 수준으로 확장될 필요가 있다. 키오스크, 모바일 금융, 공공앱, 병원예약, 교통, 생성형 AI 활용과 개인정보 보호 등 실제 생활에서 필요한 주제를 단계별로 제공하고, 교육을 마친 노인이 다른 노인을 돕는 디지털 동행 자원봉사자로 활동하도록 연결한다면 교육과 사회참여를 동시에 달성할 수 있다. 다만 디지털 이용을 원하지 않거나 학습이 어려운 이용자를 위해 전화·대면 신청과 종이 안내를 유지하여 선택권을 보장해야 한다.</w:t>
      </w:r>
    </w:p>
    <w:p>
      <w:pPr>
        <w:spacing w:before="0" w:after="80" w:line="384" w:lineRule="auto"/>
        <w:ind w:firstLine="397"/>
      </w:pPr>
      <w:r>
        <w:rPr>
          <w:rFonts w:ascii="NanumSquare" w:hAnsi="NanumSquare" w:eastAsia="나눔스퀘어"/>
          <w:b w:val="0"/>
          <w:sz w:val="20"/>
        </w:rPr>
        <w:t>셋째, 노인 일자리와 사회공헌 활동을 양적으로 연결하는 수준을 넘어 개인의 경력과 전문성을 활용하는 방향으로 고도화할 필요가 있다. 은퇴 전 직업 경험, 취미, 자격, 봉사경험을 데이터베이스화하여 교육보조, 문화해설, 지역안전, 돌봄지원, 디지털교육, 환경활동 등과 연결하면 노인의 사회적 역할을 확장할 수 있다. 넷째, 사업 성과를 참여인원 중심으로만 평가하기보다 건강행동 변화, 사회적 관계 증가, 디지털 자신감, 취업 지속기간, 삶의 만족도 등 결과지표를 함께 관리하고 이를 연례보고서와 홈페이지에 쉽게 공개한다면 기관의 전문성과 신뢰성이 더욱 높아질 것이다.</w:t>
      </w:r>
    </w:p>
    <w:p>
      <w:pPr>
        <w:pStyle w:val="Heading1"/>
        <w:spacing w:before="120" w:after="100"/>
      </w:pPr>
      <w:r>
        <w:t>Ⅲ. 결론</w:t>
      </w:r>
    </w:p>
    <w:p>
      <w:pPr>
        <w:spacing w:before="0" w:after="80" w:line="384" w:lineRule="auto"/>
        <w:ind w:firstLine="397"/>
      </w:pPr>
      <w:r>
        <w:rPr>
          <w:rFonts w:ascii="NanumSquare" w:hAnsi="NanumSquare" w:eastAsia="나눔스퀘어"/>
          <w:b w:val="0"/>
          <w:sz w:val="20"/>
        </w:rPr>
        <w:t>서울노인복지센터는 생활지원과 건강관리에서부터 평생교육, 디지털 역량, 일자리, 자원봉사, 세대통합 문화사업까지 폭넓은 서비스를 제공하는 대표적인 노인복지기관이다. 홈페이지를 통해 살펴본 결과, 기관은 노인을 보호의 대상만으로 보지 않고 배우고 나누며 사회에 참여하는 ‘선배시민’으로 바라보는 운영 방향을 실천하고 있었다. 이러한 철학은 초고령사회에서 노인복지기관이 나아가야 할 방향과도 부합한다.</w:t>
      </w:r>
    </w:p>
    <w:p>
      <w:pPr>
        <w:spacing w:before="0" w:after="80" w:line="384" w:lineRule="auto"/>
        <w:ind w:firstLine="397"/>
      </w:pPr>
      <w:r>
        <w:rPr>
          <w:rFonts w:ascii="NanumSquare" w:hAnsi="NanumSquare" w:eastAsia="나눔스퀘어"/>
          <w:b w:val="0"/>
          <w:sz w:val="20"/>
        </w:rPr>
        <w:t>향후에는 많은 프로그램을 제공하는 것에서 한 단계 더 나아가 이용자별 욕구를 통합적으로 파악하고 필요한 서비스를 연결하는 체계를 강화해야 한다. 또한 디지털 전환 과정에서 소외되는 이용자가 없도록 온·오프라인 접근성을 함께 보장하고, 지역사회 통합돌봄 기관과의 연계를 확대할 필요가 있다. 궁극적으로 서울노인복지센터가 노인의 건강과 생활을 지원하는 공간을 넘어, 노인의 경험과 역량이 지역사회 속에서 지속적으로 활용되는 시민 참여의 플랫폼으로 발전한다면 노인복지의 질적 수준을 높이는 데 더욱 중요한 역할을 할 수 있을 것이다.</w:t>
      </w:r>
    </w:p>
    <w:p>
      <w:pPr>
        <w:pStyle w:val="Heading1"/>
        <w:spacing w:before="120" w:after="100"/>
      </w:pPr>
      <w:r>
        <w:t>참고문헌</w:t>
      </w:r>
    </w:p>
    <w:p>
      <w:pPr>
        <w:spacing w:before="0" w:after="40" w:line="300" w:lineRule="auto"/>
        <w:ind w:left="227" w:hanging="227"/>
      </w:pPr>
      <w:r>
        <w:rPr>
          <w:rFonts w:ascii="NanumSquare" w:hAnsi="NanumSquare" w:eastAsia="나눔스퀘어"/>
          <w:b w:val="0"/>
          <w:sz w:val="18"/>
        </w:rPr>
        <w:t>서울노인복지센터. (2026). 서울노인복지센터 홈페이지. https://www.seoulnoin.or.kr</w:t>
      </w:r>
    </w:p>
    <w:p>
      <w:pPr>
        <w:spacing w:before="0" w:after="40" w:line="300" w:lineRule="auto"/>
        <w:ind w:left="227" w:hanging="227"/>
      </w:pPr>
      <w:r>
        <w:rPr>
          <w:rFonts w:ascii="NanumSquare" w:hAnsi="NanumSquare" w:eastAsia="나눔스퀘어"/>
          <w:b w:val="0"/>
          <w:sz w:val="18"/>
        </w:rPr>
        <w:t>서울특별시. (2026). 2026년 복지실 주요업무계획. 서울특별시.</w:t>
      </w:r>
    </w:p>
    <w:p>
      <w:pPr>
        <w:spacing w:before="0" w:after="40" w:line="300" w:lineRule="auto"/>
        <w:ind w:left="227" w:hanging="227"/>
      </w:pPr>
      <w:r>
        <w:rPr>
          <w:rFonts w:ascii="NanumSquare" w:hAnsi="NanumSquare" w:eastAsia="나눔스퀘어"/>
          <w:b w:val="0"/>
          <w:sz w:val="18"/>
        </w:rPr>
        <w:t>서울특별시. (2026). 노인복지관 운영 현황. 서울특별시 복지 분야별정보.</w:t>
      </w:r>
    </w:p>
    <w:p>
      <w:pPr>
        <w:spacing w:before="0" w:after="40" w:line="300" w:lineRule="auto"/>
        <w:ind w:left="227" w:hanging="227"/>
      </w:pPr>
      <w:r>
        <w:rPr>
          <w:rFonts w:ascii="NanumSquare" w:hAnsi="NanumSquare" w:eastAsia="나눔스퀘어"/>
          <w:b w:val="0"/>
          <w:sz w:val="18"/>
        </w:rPr>
        <w:t>보건복지부. (2026). 2026년 노인보건복지 사업안내. 보건복지부.</w:t>
      </w:r>
    </w:p>
    <w:p>
      <w:r>
        <w:br w:type="page"/>
      </w:r>
    </w:p>
    <w:p>
      <w:pPr>
        <w:spacing w:before="0" w:after="320" w:line="384" w:lineRule="auto"/>
        <w:jc w:val="center"/>
      </w:pPr>
      <w:r>
        <w:rPr>
          <w:rFonts w:ascii="NanumSquare" w:hAnsi="NanumSquare" w:eastAsia="나눔스퀘어"/>
          <w:b/>
          <w:sz w:val="32"/>
        </w:rPr>
        <w:t>주의사항</w:t>
      </w:r>
    </w:p>
    <w:tbl>
      <w:tblPr>
        <w:tblW w:type="auto" w:w="0"/>
        <w:jc w:val="center"/>
        <w:tblLayout w:type="fixed"/>
        <w:tblLook w:firstColumn="1" w:firstRow="1" w:lastColumn="0" w:lastRow="0" w:noHBand="0" w:noVBand="1" w:val="04A0"/>
      </w:tblPr>
      <w:tblGrid>
        <w:gridCol w:w="9746"/>
      </w:tblGrid>
      <w:tr>
        <w:tc>
          <w:tcPr>
            <w:tcW w:type="dxa" w:w="8787"/>
            <w:vAlign w:val="center"/>
            <w:shd w:fill="F4F6F8"/>
            <w:tcMar>
              <w:top w:w="260" w:type="dxa"/>
              <w:start w:w="280" w:type="dxa"/>
              <w:bottom w:w="260" w:type="dxa"/>
              <w:end w:w="280" w:type="dxa"/>
            </w:tcMar>
          </w:tcPr>
          <w:p>
            <w:pPr>
              <w:spacing w:line="348" w:lineRule="auto" w:after="120"/>
              <w:jc w:val="center"/>
            </w:pPr>
            <w:r>
              <w:rPr>
                <w:rFonts w:ascii="NanumSquare" w:hAnsi="NanumSquare" w:eastAsia="나눔스퀘어"/>
                <w:b/>
                <w:sz w:val="22"/>
              </w:rPr>
              <w:t>본 자료는 학점은행제 과제 참고용 샘플입니다.</w:t>
            </w:r>
          </w:p>
          <w:p>
            <w:pPr>
              <w:spacing w:line="348" w:lineRule="auto" w:after="120"/>
              <w:jc w:val="center"/>
            </w:pPr>
            <w:r>
              <w:rPr>
                <w:rFonts w:ascii="NanumSquare" w:hAnsi="NanumSquare" w:eastAsia="나눔스퀘어"/>
                <w:b w:val="0"/>
                <w:sz w:val="22"/>
              </w:rPr>
              <w:t>위 학습 자료를 그대로 제출할 경우 모사율(표절률)로 인하여</w:t>
            </w:r>
          </w:p>
          <w:p>
            <w:pPr>
              <w:spacing w:line="348" w:lineRule="auto" w:after="120"/>
              <w:jc w:val="center"/>
            </w:pPr>
            <w:r>
              <w:rPr>
                <w:rFonts w:ascii="NanumSquare" w:hAnsi="NanumSquare" w:eastAsia="나눔스퀘어"/>
                <w:b w:val="0"/>
                <w:sz w:val="22"/>
              </w:rPr>
              <w:t>성적 불이익 또는 해당 과목 0점 처리될 수 있습니다.</w:t>
            </w:r>
          </w:p>
          <w:p>
            <w:pPr>
              <w:spacing w:line="348" w:lineRule="auto" w:after="0"/>
              <w:jc w:val="center"/>
            </w:pPr>
            <w:r>
              <w:rPr>
                <w:rFonts w:ascii="NanumSquare" w:hAnsi="NanumSquare" w:eastAsia="나눔스퀘어"/>
                <w:b/>
                <w:sz w:val="22"/>
              </w:rPr>
              <w:t>반드시 본인의 언어로 수정·재작성하여 제출하시기 바랍니다.</w:t>
            </w:r>
          </w:p>
        </w:tc>
      </w:tr>
    </w:tbl>
    <w:p>
      <w:pPr>
        <w:spacing w:before="0" w:after="240" w:line="384" w:lineRule="auto"/>
      </w:pPr>
      <w:r>
        <w:rPr>
          <w:rFonts w:ascii="NanumSquare" w:hAnsi="NanumSquare" w:eastAsia="나눔스퀘어"/>
          <w:b w:val="0"/>
          <w:sz w:val="20"/>
        </w:rPr>
      </w:r>
    </w:p>
    <w:p>
      <w:pPr>
        <w:spacing w:before="0" w:after="160" w:line="384" w:lineRule="auto"/>
        <w:jc w:val="center"/>
      </w:pPr>
      <w:r>
        <w:rPr>
          <w:rFonts w:ascii="NanumSquare" w:hAnsi="NanumSquare" w:eastAsia="나눔스퀘어"/>
          <w:b/>
          <w:sz w:val="26"/>
        </w:rPr>
        <w:t>과제 수정이 어려우신가요?</w:t>
      </w:r>
    </w:p>
    <w:p>
      <w:pPr>
        <w:spacing w:before="0" w:after="280" w:line="360" w:lineRule="auto"/>
        <w:jc w:val="center"/>
      </w:pPr>
      <w:r>
        <w:rPr>
          <w:rFonts w:ascii="NanumSquare" w:hAnsi="NanumSquare" w:eastAsia="나눔스퀘어"/>
          <w:b w:val="0"/>
          <w:sz w:val="21"/>
        </w:rPr>
        <w:t>국민원격교육관리센터에서 1:1 과제 수정 도움을 드립니다.</w:t>
        <w:br/>
        <w:t>아래 연락처로 문의해 주세요.</w:t>
      </w:r>
    </w:p>
    <w:tbl>
      <w:tblPr>
        <w:tblW w:type="auto" w:w="0"/>
        <w:jc w:val="center"/>
        <w:tblLayout w:type="fixed"/>
        <w:tblLook w:firstColumn="1" w:firstRow="1" w:lastColumn="0" w:lastRow="0" w:noHBand="0" w:noVBand="1" w:val="04A0"/>
      </w:tblPr>
      <w:tblGrid>
        <w:gridCol w:w="4873"/>
        <w:gridCol w:w="4873"/>
      </w:tblGrid>
      <w:tr>
        <w:tc>
          <w:tcPr>
            <w:tcW w:type="dxa" w:w="1984"/>
            <w:shd w:fill="E8EEF3"/>
            <w:tcMar>
              <w:top w:w="150" w:type="dxa"/>
              <w:start w:w="180" w:type="dxa"/>
              <w:bottom w:w="150" w:type="dxa"/>
              <w:end w:w="180" w:type="dxa"/>
            </w:tcMar>
            <w:vAlign w:val="center"/>
          </w:tcPr>
          <w:p>
            <w:pPr>
              <w:jc w:val="center"/>
            </w:pPr>
            <w:r>
              <w:rPr>
                <w:rFonts w:ascii="NanumSquare" w:hAnsi="NanumSquare" w:eastAsia="나눔스퀘어"/>
                <w:b/>
                <w:sz w:val="20"/>
              </w:rPr>
              <w:t>전화</w:t>
            </w:r>
          </w:p>
        </w:tc>
        <w:tc>
          <w:tcPr>
            <w:tcW w:type="dxa" w:w="5953"/>
            <w:tcMar>
              <w:top w:w="150" w:type="dxa"/>
              <w:start w:w="180" w:type="dxa"/>
              <w:bottom w:w="150" w:type="dxa"/>
              <w:end w:w="180" w:type="dxa"/>
            </w:tcMar>
            <w:vAlign w:val="center"/>
          </w:tcPr>
          <w:p>
            <w:pPr>
              <w:jc w:val="left"/>
            </w:pPr>
            <w:r>
              <w:rPr>
                <w:rFonts w:ascii="NanumSquare" w:hAnsi="NanumSquare" w:eastAsia="나눔스퀘어"/>
                <w:sz w:val="20"/>
              </w:rPr>
              <w:t>050-7878-7044</w:t>
            </w:r>
          </w:p>
        </w:tc>
      </w:tr>
      <w:tr>
        <w:tc>
          <w:tcPr>
            <w:tcW w:type="dxa" w:w="1984"/>
            <w:shd w:fill="E8EEF3"/>
            <w:tcMar>
              <w:top w:w="150" w:type="dxa"/>
              <w:start w:w="180" w:type="dxa"/>
              <w:bottom w:w="150" w:type="dxa"/>
              <w:end w:w="180" w:type="dxa"/>
            </w:tcMar>
            <w:vAlign w:val="center"/>
          </w:tcPr>
          <w:p>
            <w:pPr>
              <w:jc w:val="center"/>
            </w:pPr>
            <w:r>
              <w:rPr>
                <w:rFonts w:ascii="NanumSquare" w:hAnsi="NanumSquare" w:eastAsia="나눔스퀘어"/>
                <w:b/>
                <w:sz w:val="20"/>
              </w:rPr>
              <w:t>카카오톡</w:t>
            </w:r>
          </w:p>
        </w:tc>
        <w:tc>
          <w:tcPr>
            <w:tcW w:type="dxa" w:w="5953"/>
            <w:tcMar>
              <w:top w:w="150" w:type="dxa"/>
              <w:start w:w="180" w:type="dxa"/>
              <w:bottom w:w="150" w:type="dxa"/>
              <w:end w:w="180" w:type="dxa"/>
            </w:tcMar>
            <w:vAlign w:val="center"/>
          </w:tcPr>
          <w:p>
            <w:pPr>
              <w:jc w:val="left"/>
            </w:pPr>
            <w:r>
              <w:rPr>
                <w:rFonts w:ascii="NanumSquare" w:hAnsi="NanumSquare" w:eastAsia="나눔스퀘어"/>
                <w:sz w:val="20"/>
              </w:rPr>
              <w:t>@국민원격교육관리센터</w:t>
            </w:r>
          </w:p>
        </w:tc>
      </w:tr>
      <w:tr>
        <w:tc>
          <w:tcPr>
            <w:tcW w:type="dxa" w:w="1984"/>
            <w:shd w:fill="E8EEF3"/>
            <w:tcMar>
              <w:top w:w="150" w:type="dxa"/>
              <w:start w:w="180" w:type="dxa"/>
              <w:bottom w:w="150" w:type="dxa"/>
              <w:end w:w="180" w:type="dxa"/>
            </w:tcMar>
            <w:vAlign w:val="center"/>
          </w:tcPr>
          <w:p>
            <w:pPr>
              <w:jc w:val="center"/>
            </w:pPr>
            <w:r>
              <w:rPr>
                <w:rFonts w:ascii="NanumSquare" w:hAnsi="NanumSquare" w:eastAsia="나눔스퀘어"/>
                <w:b/>
                <w:sz w:val="20"/>
              </w:rPr>
              <w:t>운영시간</w:t>
            </w:r>
          </w:p>
        </w:tc>
        <w:tc>
          <w:tcPr>
            <w:tcW w:type="dxa" w:w="5953"/>
            <w:tcMar>
              <w:top w:w="150" w:type="dxa"/>
              <w:start w:w="180" w:type="dxa"/>
              <w:bottom w:w="150" w:type="dxa"/>
              <w:end w:w="180" w:type="dxa"/>
            </w:tcMar>
            <w:vAlign w:val="center"/>
          </w:tcPr>
          <w:p>
            <w:pPr>
              <w:jc w:val="left"/>
            </w:pPr>
            <w:r>
              <w:rPr>
                <w:rFonts w:ascii="NanumSquare" w:hAnsi="NanumSquare" w:eastAsia="나눔스퀘어"/>
                <w:sz w:val="20"/>
              </w:rPr>
              <w:t>평일 10:00–19:00</w:t>
            </w:r>
          </w:p>
        </w:tc>
      </w:tr>
      <w:tr>
        <w:tc>
          <w:tcPr>
            <w:tcW w:type="dxa" w:w="1984"/>
            <w:shd w:fill="E8EEF3"/>
            <w:tcMar>
              <w:top w:w="150" w:type="dxa"/>
              <w:start w:w="180" w:type="dxa"/>
              <w:bottom w:w="150" w:type="dxa"/>
              <w:end w:w="180" w:type="dxa"/>
            </w:tcMar>
            <w:vAlign w:val="center"/>
          </w:tcPr>
          <w:p>
            <w:pPr>
              <w:jc w:val="center"/>
            </w:pPr>
            <w:r>
              <w:rPr>
                <w:rFonts w:ascii="NanumSquare" w:hAnsi="NanumSquare" w:eastAsia="나눔스퀘어"/>
                <w:b/>
                <w:sz w:val="20"/>
              </w:rPr>
              <w:t>웹사이트</w:t>
            </w:r>
          </w:p>
        </w:tc>
        <w:tc>
          <w:tcPr>
            <w:tcW w:type="dxa" w:w="5953"/>
            <w:tcMar>
              <w:top w:w="150" w:type="dxa"/>
              <w:start w:w="180" w:type="dxa"/>
              <w:bottom w:w="150" w:type="dxa"/>
              <w:end w:w="180" w:type="dxa"/>
            </w:tcMar>
            <w:vAlign w:val="center"/>
          </w:tcPr>
          <w:p>
            <w:pPr>
              <w:jc w:val="left"/>
            </w:pPr>
            <w:r>
              <w:rPr>
                <w:rFonts w:ascii="NanumSquare" w:hAnsi="NanumSquare" w:eastAsia="나눔스퀘어"/>
                <w:sz w:val="20"/>
              </w:rPr>
              <w:t>korealms.co.kr</w:t>
            </w:r>
          </w:p>
        </w:tc>
      </w:tr>
    </w:tbl>
    <w:sectPr w:rsidR="00FC693F" w:rsidRPr="0006063C" w:rsidSect="00034616">
      <w:footerReference w:type="default" r:id="rId9"/>
      <w:pgSz w:w="12240" w:h="15840"/>
      <w:pgMar w:top="1020"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80"/>
      <w:jc w:val="both"/>
    </w:pPr>
    <w:rPr>
      <w:rFonts w:ascii="NanumSquare" w:hAnsi="NanumSquare" w:eastAsia="나눔스퀘어"/>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NanumSquare" w:hAnsi="NanumSquare" w:eastAsia="나눔스퀘어"/>
      <w:b/>
      <w:bCs/>
      <w:color w:val="24364B"/>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NanumSquare" w:hAnsi="NanumSquare" w:eastAsia="나눔스퀘어"/>
      <w:b/>
      <w:bCs/>
      <w:color w:val="3A5A78"/>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NanumSquare" w:hAnsi="NanumSquare" w:eastAsia="나눔스퀘어"/>
      <w:b/>
      <w:color w:val="24364B"/>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서울노인복지센터 기관분석과 발전 방향</dc:title>
  <dc:subject>사회복지행정론 과제</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