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after="120"/>
        <w:jc w:val="left"/>
      </w:pPr>
      <w:r>
        <w:rPr>
          <w:rFonts w:ascii="Malgun Gothic" w:hAnsi="Malgun Gothic" w:eastAsia="Malgun Gothic"/>
          <w:b/>
          <w:color w:val="2F5597"/>
          <w:sz w:val="20"/>
        </w:rPr>
        <w:t>학점은행제 과제 참고용 샘플</w:t>
      </w:r>
    </w:p>
    <w:p>
      <w:pPr>
        <w:spacing w:before="900" w:after="80"/>
        <w:jc w:val="center"/>
      </w:pPr>
      <w:r>
        <w:rPr>
          <w:rFonts w:ascii="Malgun Gothic" w:hAnsi="Malgun Gothic" w:eastAsia="Malgun Gothic"/>
          <w:b/>
          <w:color w:val="17365D"/>
          <w:sz w:val="38"/>
        </w:rPr>
        <w:t>재 무 관 리</w:t>
      </w:r>
    </w:p>
    <w:p>
      <w:pPr>
        <w:spacing w:before="360" w:after="200"/>
        <w:jc w:val="center"/>
      </w:pPr>
      <w:r>
        <w:rPr>
          <w:rFonts w:ascii="Malgun Gothic" w:hAnsi="Malgun Gothic" w:eastAsia="Malgun Gothic"/>
          <w:b/>
          <w:color w:val="1F1F1F"/>
          <w:sz w:val="44"/>
        </w:rPr>
        <w:t>듀퐁분석의 의의와 활용법을 설명하고</w:t>
        <w:br/>
        <w:t>실제 활용 예시를 제시하시오</w:t>
      </w:r>
    </w:p>
    <w:p>
      <w:pPr>
        <w:spacing w:before="120" w:after="680"/>
        <w:jc w:val="center"/>
      </w:pPr>
      <w:r>
        <w:rPr>
          <w:rFonts w:ascii="Malgun Gothic" w:hAnsi="Malgun Gothic" w:eastAsia="Malgun Gothic"/>
          <w:color w:val="666666"/>
          <w:sz w:val="19"/>
        </w:rPr>
        <w:t>DuPont Analysis: Meaning, Application, and a Real-Company Example</w:t>
      </w:r>
    </w:p>
    <w:p>
      <w:pPr>
        <w:jc w:val="center"/>
      </w:pPr>
      <w:r>
        <w:rPr>
          <w:rFonts w:ascii="Malgun Gothic" w:hAnsi="Malgun Gothic" w:eastAsia="Malgun Gothic"/>
          <w:color w:val="B7C9E2"/>
          <w:sz w:val="20"/>
        </w:rPr>
        <w:t>━━━━━━━━━━━━━━━━━━━━━━━━━━━━━━━━</w:t>
      </w:r>
    </w:p>
    <w:p>
      <w:pPr>
        <w:spacing w:before="360" w:after="200"/>
      </w:pPr>
      <w:r>
        <w:rPr>
          <w:rFonts w:ascii="Malgun Gothic" w:hAnsi="Malgun Gothic" w:eastAsia="Malgun Gothic"/>
          <w:b/>
          <w:color w:val="17365D"/>
          <w:sz w:val="28"/>
        </w:rPr>
        <w:t>목 차</w:t>
      </w:r>
    </w:p>
    <w:p>
      <w:pPr>
        <w:tabs>
          <w:tab w:pos="8504" w:val="left"/>
        </w:tabs>
        <w:spacing w:after="60"/>
        <w:ind w:left="227" w:right="283"/>
      </w:pPr>
      <w:r>
        <w:rPr>
          <w:rFonts w:ascii="Malgun Gothic" w:hAnsi="Malgun Gothic" w:eastAsia="Malgun Gothic"/>
          <w:color w:val="222222"/>
          <w:sz w:val="20"/>
        </w:rPr>
        <w:t>Ⅰ. 서론</w:t>
      </w:r>
      <w:r>
        <w:rPr>
          <w:rFonts w:ascii="Malgun Gothic" w:hAnsi="Malgun Gothic" w:eastAsia="Malgun Gothic"/>
          <w:color w:val="666666"/>
          <w:sz w:val="20"/>
        </w:rPr>
        <w:tab/>
        <w:t>2</w:t>
      </w:r>
    </w:p>
    <w:p>
      <w:pPr>
        <w:tabs>
          <w:tab w:pos="8504" w:val="left"/>
        </w:tabs>
        <w:spacing w:after="60"/>
        <w:ind w:left="227" w:right="283"/>
      </w:pPr>
      <w:r>
        <w:rPr>
          <w:rFonts w:ascii="Malgun Gothic" w:hAnsi="Malgun Gothic" w:eastAsia="Malgun Gothic"/>
          <w:color w:val="222222"/>
          <w:sz w:val="20"/>
        </w:rPr>
        <w:t>Ⅱ. 본론</w:t>
      </w:r>
      <w:r>
        <w:rPr>
          <w:rFonts w:ascii="Malgun Gothic" w:hAnsi="Malgun Gothic" w:eastAsia="Malgun Gothic"/>
          <w:color w:val="666666"/>
          <w:sz w:val="20"/>
        </w:rPr>
        <w:tab/>
        <w:t>3</w:t>
      </w:r>
    </w:p>
    <w:p>
      <w:pPr>
        <w:tabs>
          <w:tab w:pos="8504" w:val="left"/>
        </w:tabs>
        <w:spacing w:after="60"/>
        <w:ind w:left="227" w:right="283"/>
      </w:pPr>
      <w:r>
        <w:rPr>
          <w:rFonts w:ascii="Malgun Gothic" w:hAnsi="Malgun Gothic" w:eastAsia="Malgun Gothic"/>
          <w:color w:val="222222"/>
          <w:sz w:val="20"/>
        </w:rPr>
        <w:t xml:space="preserve">   1. 듀퐁분석의 개념과 구조</w:t>
      </w:r>
      <w:r>
        <w:rPr>
          <w:rFonts w:ascii="Malgun Gothic" w:hAnsi="Malgun Gothic" w:eastAsia="Malgun Gothic"/>
          <w:color w:val="666666"/>
          <w:sz w:val="20"/>
        </w:rPr>
        <w:tab/>
        <w:t>3</w:t>
      </w:r>
    </w:p>
    <w:p>
      <w:pPr>
        <w:tabs>
          <w:tab w:pos="8504" w:val="left"/>
        </w:tabs>
        <w:spacing w:after="60"/>
        <w:ind w:left="227" w:right="283"/>
      </w:pPr>
      <w:r>
        <w:rPr>
          <w:rFonts w:ascii="Malgun Gothic" w:hAnsi="Malgun Gothic" w:eastAsia="Malgun Gothic"/>
          <w:color w:val="222222"/>
          <w:sz w:val="20"/>
        </w:rPr>
        <w:t xml:space="preserve">   2. 듀퐁분석의 의의</w:t>
      </w:r>
      <w:r>
        <w:rPr>
          <w:rFonts w:ascii="Malgun Gothic" w:hAnsi="Malgun Gothic" w:eastAsia="Malgun Gothic"/>
          <w:color w:val="666666"/>
          <w:sz w:val="20"/>
        </w:rPr>
        <w:tab/>
        <w:t>3</w:t>
      </w:r>
    </w:p>
    <w:p>
      <w:pPr>
        <w:tabs>
          <w:tab w:pos="8504" w:val="left"/>
        </w:tabs>
        <w:spacing w:after="60"/>
        <w:ind w:left="227" w:right="283"/>
      </w:pPr>
      <w:r>
        <w:rPr>
          <w:rFonts w:ascii="Malgun Gothic" w:hAnsi="Malgun Gothic" w:eastAsia="Malgun Gothic"/>
          <w:color w:val="222222"/>
          <w:sz w:val="20"/>
        </w:rPr>
        <w:t xml:space="preserve">   3. 듀퐁분석의 활용법</w:t>
      </w:r>
      <w:r>
        <w:rPr>
          <w:rFonts w:ascii="Malgun Gothic" w:hAnsi="Malgun Gothic" w:eastAsia="Malgun Gothic"/>
          <w:color w:val="666666"/>
          <w:sz w:val="20"/>
        </w:rPr>
        <w:tab/>
        <w:t>4</w:t>
      </w:r>
    </w:p>
    <w:p>
      <w:pPr>
        <w:tabs>
          <w:tab w:pos="8504" w:val="left"/>
        </w:tabs>
        <w:spacing w:after="60"/>
        <w:ind w:left="227" w:right="283"/>
      </w:pPr>
      <w:r>
        <w:rPr>
          <w:rFonts w:ascii="Malgun Gothic" w:hAnsi="Malgun Gothic" w:eastAsia="Malgun Gothic"/>
          <w:color w:val="222222"/>
          <w:sz w:val="20"/>
        </w:rPr>
        <w:t xml:space="preserve">   4. 실제 활용 예시: 삼성전자</w:t>
      </w:r>
      <w:r>
        <w:rPr>
          <w:rFonts w:ascii="Malgun Gothic" w:hAnsi="Malgun Gothic" w:eastAsia="Malgun Gothic"/>
          <w:color w:val="666666"/>
          <w:sz w:val="20"/>
        </w:rPr>
        <w:tab/>
        <w:t>5</w:t>
      </w:r>
    </w:p>
    <w:p>
      <w:pPr>
        <w:tabs>
          <w:tab w:pos="8504" w:val="left"/>
        </w:tabs>
        <w:spacing w:after="60"/>
        <w:ind w:left="227" w:right="283"/>
      </w:pPr>
      <w:r>
        <w:rPr>
          <w:rFonts w:ascii="Malgun Gothic" w:hAnsi="Malgun Gothic" w:eastAsia="Malgun Gothic"/>
          <w:color w:val="222222"/>
          <w:sz w:val="20"/>
        </w:rPr>
        <w:t xml:space="preserve">   5. 활용 시 유의점</w:t>
      </w:r>
      <w:r>
        <w:rPr>
          <w:rFonts w:ascii="Malgun Gothic" w:hAnsi="Malgun Gothic" w:eastAsia="Malgun Gothic"/>
          <w:color w:val="666666"/>
          <w:sz w:val="20"/>
        </w:rPr>
        <w:tab/>
        <w:t>5</w:t>
      </w:r>
    </w:p>
    <w:p>
      <w:pPr>
        <w:tabs>
          <w:tab w:pos="8504" w:val="left"/>
        </w:tabs>
        <w:spacing w:after="60"/>
        <w:ind w:left="227" w:right="283"/>
      </w:pPr>
      <w:r>
        <w:rPr>
          <w:rFonts w:ascii="Malgun Gothic" w:hAnsi="Malgun Gothic" w:eastAsia="Malgun Gothic"/>
          <w:color w:val="222222"/>
          <w:sz w:val="20"/>
        </w:rPr>
        <w:t>Ⅲ. 결론</w:t>
      </w:r>
      <w:r>
        <w:rPr>
          <w:rFonts w:ascii="Malgun Gothic" w:hAnsi="Malgun Gothic" w:eastAsia="Malgun Gothic"/>
          <w:color w:val="666666"/>
          <w:sz w:val="20"/>
        </w:rPr>
        <w:tab/>
        <w:t>6</w:t>
      </w:r>
    </w:p>
    <w:p>
      <w:pPr>
        <w:tabs>
          <w:tab w:pos="8504" w:val="left"/>
        </w:tabs>
        <w:spacing w:after="60"/>
        <w:ind w:left="227" w:right="283"/>
      </w:pPr>
      <w:r>
        <w:rPr>
          <w:rFonts w:ascii="Malgun Gothic" w:hAnsi="Malgun Gothic" w:eastAsia="Malgun Gothic"/>
          <w:color w:val="222222"/>
          <w:sz w:val="20"/>
        </w:rPr>
        <w:t>참고문헌</w:t>
      </w:r>
      <w:r>
        <w:rPr>
          <w:rFonts w:ascii="Malgun Gothic" w:hAnsi="Malgun Gothic" w:eastAsia="Malgun Gothic"/>
          <w:color w:val="666666"/>
          <w:sz w:val="20"/>
        </w:rPr>
        <w:tab/>
        <w:t>6</w:t>
      </w:r>
    </w:p>
    <w:p>
      <w:pPr>
        <w:tabs>
          <w:tab w:pos="8504" w:val="left"/>
        </w:tabs>
        <w:spacing w:after="60"/>
        <w:ind w:left="227" w:right="283"/>
      </w:pPr>
      <w:r>
        <w:rPr>
          <w:rFonts w:ascii="Malgun Gothic" w:hAnsi="Malgun Gothic" w:eastAsia="Malgun Gothic"/>
          <w:color w:val="222222"/>
          <w:sz w:val="20"/>
        </w:rPr>
        <w:t>주의사항 및 안내</w:t>
      </w:r>
      <w:r>
        <w:rPr>
          <w:rFonts w:ascii="Malgun Gothic" w:hAnsi="Malgun Gothic" w:eastAsia="Malgun Gothic"/>
          <w:color w:val="666666"/>
          <w:sz w:val="20"/>
        </w:rPr>
        <w:tab/>
        <w:t>7</w:t>
      </w:r>
    </w:p>
    <w:p>
      <w:r>
        <w:br w:type="page"/>
      </w:r>
    </w:p>
    <w:p>
      <w:pPr>
        <w:keepNext/>
        <w:spacing w:before="40" w:after="200"/>
        <w:pBdr>
          <w:bottom w:val="single" w:sz="12" w:space="5" w:color="2F5597"/>
        </w:pBdr>
      </w:pPr>
      <w:r>
        <w:rPr>
          <w:rFonts w:ascii="Malgun Gothic" w:hAnsi="Malgun Gothic" w:eastAsia="Malgun Gothic"/>
          <w:b/>
          <w:color w:val="17365D"/>
          <w:sz w:val="32"/>
        </w:rPr>
        <w:t>Ⅰ. 서론</w:t>
      </w:r>
    </w:p>
    <w:p>
      <w:pPr>
        <w:spacing w:before="0" w:after="100" w:line="343" w:lineRule="auto"/>
        <w:ind w:firstLine="425"/>
        <w:jc w:val="both"/>
      </w:pPr>
      <w:r>
        <w:rPr>
          <w:rFonts w:ascii="Malgun Gothic" w:hAnsi="Malgun Gothic" w:eastAsia="Malgun Gothic"/>
          <w:color w:val="222222"/>
          <w:sz w:val="20"/>
        </w:rPr>
        <w:t>기업의 재무성과를 평가할 때 가장 널리 활용되는 지표 가운데 하나가 자기자본이익률(Return on Equity, ROE)이다. ROE는 주주가 제공한 자기자본을 이용하여 기업이 어느 정도의 당기순이익을 창출했는지를 나타내므로 경영성과와 주주가치 창출 능력을 직관적으로 보여준다. 그러나 ROE 수치만으로는 그 수준이 높거나 낮은 원인을 충분히 설명하기 어렵다. 예를 들어 동일한 10%의 ROE라도 높은 이익률에서 비롯된 경우와 과도한 차입을 통해 자기자본 규모를 줄인 결과는 경제적 의미와 위험 수준이 전혀 다르다.</w:t>
      </w:r>
    </w:p>
    <w:p>
      <w:pPr>
        <w:spacing w:before="0" w:after="100" w:line="343" w:lineRule="auto"/>
        <w:ind w:firstLine="425"/>
        <w:jc w:val="both"/>
      </w:pPr>
      <w:r>
        <w:rPr>
          <w:rFonts w:ascii="Malgun Gothic" w:hAnsi="Malgun Gothic" w:eastAsia="Malgun Gothic"/>
          <w:color w:val="222222"/>
          <w:sz w:val="20"/>
        </w:rPr>
        <w:t>이러한 한계를 보완하는 대표적 재무분석 체계가 듀퐁분석(DuPont Analysis)이다. 듀퐁분석은 ROE를 수익성, 자산운용 효율성, 재무레버리지 등 여러 구성요소로 분해하여 최종 성과가 어떠한 경로를 통해 형성되었는지 파악하게 한다. CFA Institute도 듀퐁분석을 ROE를 기업 성과의 서로 다른 측면을 나타내는 구성요소로 나누는 분석기법으로 설명하고 있으며, 분석 단계는 필요에 따라 더욱 세분화할 수 있다고 제시한다(CFA Institute, 2026).</w:t>
      </w:r>
    </w:p>
    <w:p>
      <w:pPr>
        <w:spacing w:before="0" w:after="100" w:line="343" w:lineRule="auto"/>
        <w:ind w:firstLine="425"/>
        <w:jc w:val="both"/>
      </w:pPr>
      <w:r>
        <w:rPr>
          <w:rFonts w:ascii="Malgun Gothic" w:hAnsi="Malgun Gothic" w:eastAsia="Malgun Gothic"/>
          <w:color w:val="222222"/>
          <w:sz w:val="20"/>
        </w:rPr>
        <w:t>듀퐁분석의 장점은 단순한 결과지표를 원인별 관리지표로 전환한다는 데 있다. 경영자는 낮은 ROE가 매출원가와 판관비 증가로 인한 이익률 저하 때문인지, 재고·설비 등 자산 활용의 비효율 때문인지, 또는 자본구조의 차이 때문인지를 구분하여 대응할 수 있다. 투자자 역시 ROE 상승이 영업경쟁력 강화에 기초한 것인지 아니면 레버리지 확대에 기초한 것인지 판단함으로써 수익성과 위험을 함께 검토할 수 있다.</w:t>
      </w:r>
    </w:p>
    <w:p>
      <w:pPr>
        <w:spacing w:before="0" w:after="100" w:line="343" w:lineRule="auto"/>
        <w:ind w:firstLine="425"/>
        <w:jc w:val="both"/>
      </w:pPr>
      <w:r>
        <w:rPr>
          <w:rFonts w:ascii="Malgun Gothic" w:hAnsi="Malgun Gothic" w:eastAsia="Malgun Gothic"/>
          <w:color w:val="222222"/>
          <w:sz w:val="20"/>
        </w:rPr>
        <w:t>본 과제에서는 먼저 듀퐁분석의 기본 구조와 각 구성요소의 경제적 의미를 살펴보고, 이어서 경영관리 및 투자분석에서의 구체적인 활용법을 정리한다. 마지막으로 삼성전자의 2023년과 2024년 연결재무제표를 이용하여 3단계 듀퐁모형을 적용하고, ROE 변동의 원인을 수익성·효율성·레버리지 측면에서 실제로 해석하고자 한다.</w:t>
      </w:r>
    </w:p>
    <w:p>
      <w:r>
        <w:br w:type="page"/>
      </w:r>
    </w:p>
    <w:p>
      <w:pPr>
        <w:keepNext/>
        <w:spacing w:before="40" w:after="200"/>
        <w:pBdr>
          <w:bottom w:val="single" w:sz="12" w:space="5" w:color="2F5597"/>
        </w:pBdr>
      </w:pPr>
      <w:r>
        <w:rPr>
          <w:rFonts w:ascii="Malgun Gothic" w:hAnsi="Malgun Gothic" w:eastAsia="Malgun Gothic"/>
          <w:b/>
          <w:color w:val="17365D"/>
          <w:sz w:val="32"/>
        </w:rPr>
        <w:t>Ⅱ. 본론</w:t>
      </w:r>
    </w:p>
    <w:p>
      <w:pPr>
        <w:keepNext/>
        <w:spacing w:before="100" w:after="80"/>
      </w:pPr>
      <w:r>
        <w:rPr>
          <w:rFonts w:ascii="Malgun Gothic" w:hAnsi="Malgun Gothic" w:eastAsia="Malgun Gothic"/>
          <w:b/>
          <w:color w:val="2F5597"/>
          <w:sz w:val="24"/>
        </w:rPr>
        <w:t>1. 듀퐁분석의 개념과 구조</w:t>
      </w:r>
    </w:p>
    <w:p>
      <w:pPr>
        <w:spacing w:before="0" w:after="100" w:line="343" w:lineRule="auto"/>
        <w:ind w:firstLine="425"/>
        <w:jc w:val="both"/>
      </w:pPr>
      <w:r>
        <w:rPr>
          <w:rFonts w:ascii="Malgun Gothic" w:hAnsi="Malgun Gothic" w:eastAsia="Malgun Gothic"/>
          <w:color w:val="222222"/>
          <w:sz w:val="20"/>
        </w:rPr>
        <w:t>듀퐁분석은 자기자본이익률을 여러 재무비율의 곱으로 분해하는 방식이다. 전통적인 3단계 모형에서는 ROE를 순이익률(Net Profit Margin), 총자산회전율(Total Asset Turnover), 자기자본승수(Equity Multiplier)로 구분한다. 세 지표는 각각 기업의 수익성, 자산 사용의 효율성, 재무레버리지 수준을 의미한다. 이를 식으로 나타내면 다음과 같다.</w:t>
      </w:r>
    </w:p>
    <w:tbl>
      <w:tblPr>
        <w:tblW w:type="auto" w:w="0"/>
        <w:jc w:val="center"/>
        <w:tblLayout w:type="fixed"/>
        <w:tblLook w:firstColumn="1" w:firstRow="1" w:lastColumn="0" w:lastRow="0" w:noHBand="0" w:noVBand="1" w:val="04A0"/>
        <w:tblBorders>
          <w:top w:val="single" w:sz="8" w:color="B7C9E2"/>
          <w:left w:val="single" w:sz="8" w:color="B7C9E2"/>
          <w:bottom w:val="single" w:sz="8" w:color="B7C9E2"/>
          <w:right w:val="single" w:sz="8" w:color="B7C9E2"/>
          <w:insideH w:val="single" w:sz="8" w:color="B7C9E2"/>
          <w:insideV w:val="single" w:sz="8" w:color="B7C9E2"/>
        </w:tblBorders>
      </w:tblPr>
      <w:tblGrid>
        <w:gridCol w:w="9518"/>
      </w:tblGrid>
      <w:tr>
        <w:tc>
          <w:tcPr>
            <w:tcW w:type="dxa" w:w="8901"/>
            <w:shd w:fill="EAF2F8"/>
            <w:tcMar>
              <w:top w:w="90" w:type="dxa"/>
              <w:start w:w="140" w:type="dxa"/>
              <w:bottom w:w="90" w:type="dxa"/>
              <w:end w:w="140" w:type="dxa"/>
            </w:tcMar>
          </w:tcPr>
          <w:p>
            <w:pPr>
              <w:spacing w:after="0"/>
              <w:jc w:val="center"/>
            </w:pPr>
            <w:r>
              <w:rPr>
                <w:rFonts w:ascii="Malgun Gothic" w:hAnsi="Malgun Gothic" w:eastAsia="Malgun Gothic"/>
                <w:b/>
                <w:color w:val="17365D"/>
                <w:sz w:val="19"/>
              </w:rPr>
              <w:t>ROE = 순이익률 × 총자산회전율 × 자기자본승수</w:t>
            </w:r>
          </w:p>
        </w:tc>
      </w:tr>
    </w:tbl>
    <w:p>
      <w:pPr>
        <w:spacing w:after="80"/>
        <w:jc w:val="center"/>
      </w:pPr>
      <w:r>
        <w:rPr>
          <w:rFonts w:ascii="Malgun Gothic" w:hAnsi="Malgun Gothic" w:eastAsia="Malgun Gothic"/>
          <w:color w:val="666666"/>
          <w:sz w:val="17"/>
        </w:rPr>
        <w:t>3단계 듀퐁모형</w:t>
      </w:r>
    </w:p>
    <w:tbl>
      <w:tblPr>
        <w:tblW w:type="auto" w:w="0"/>
        <w:jc w:val="center"/>
        <w:tblLayout w:type="fixed"/>
        <w:tblLook w:firstColumn="1" w:firstRow="1" w:lastColumn="0" w:lastRow="0" w:noHBand="0" w:noVBand="1" w:val="04A0"/>
        <w:tblBorders>
          <w:top w:val="single" w:sz="8" w:color="B7C9E2"/>
          <w:left w:val="single" w:sz="8" w:color="B7C9E2"/>
          <w:bottom w:val="single" w:sz="8" w:color="B7C9E2"/>
          <w:right w:val="single" w:sz="8" w:color="B7C9E2"/>
          <w:insideH w:val="single" w:sz="8" w:color="B7C9E2"/>
          <w:insideV w:val="single" w:sz="8" w:color="B7C9E2"/>
        </w:tblBorders>
      </w:tblPr>
      <w:tblGrid>
        <w:gridCol w:w="9518"/>
      </w:tblGrid>
      <w:tr>
        <w:tc>
          <w:tcPr>
            <w:tcW w:type="dxa" w:w="8901"/>
            <w:shd w:fill="EAF2F8"/>
            <w:tcMar>
              <w:top w:w="90" w:type="dxa"/>
              <w:start w:w="140" w:type="dxa"/>
              <w:bottom w:w="90" w:type="dxa"/>
              <w:end w:w="140" w:type="dxa"/>
            </w:tcMar>
          </w:tcPr>
          <w:p>
            <w:pPr>
              <w:spacing w:after="0"/>
              <w:jc w:val="center"/>
            </w:pPr>
            <w:r>
              <w:rPr>
                <w:rFonts w:ascii="Malgun Gothic" w:hAnsi="Malgun Gothic" w:eastAsia="Malgun Gothic"/>
                <w:b/>
                <w:color w:val="17365D"/>
                <w:sz w:val="19"/>
              </w:rPr>
              <w:t>ROE = (당기순이익 ÷ 매출액) × (매출액 ÷ 평균총자산) × (평균총자산 ÷ 평균자기자본)</w:t>
            </w:r>
          </w:p>
        </w:tc>
      </w:tr>
    </w:tbl>
    <w:p>
      <w:pPr>
        <w:spacing w:before="0" w:after="100" w:line="343" w:lineRule="auto"/>
        <w:ind w:firstLine="425"/>
        <w:jc w:val="both"/>
      </w:pPr>
      <w:r>
        <w:rPr>
          <w:rFonts w:ascii="Malgun Gothic" w:hAnsi="Malgun Gothic" w:eastAsia="Malgun Gothic"/>
          <w:color w:val="222222"/>
          <w:sz w:val="20"/>
        </w:rPr>
        <w:t>첫째, 순이익률은 매출 1원당 최종적으로 얼마의 순이익을 남겼는지를 나타낸다. 제품가격, 원가구조, 판매관리비, 금융손익, 세금 등이 복합적으로 반영된다. 둘째, 총자산회전율은 투입한 자산이 매출을 얼마나 효율적으로 창출하는지를 보여준다. 동일한 이익률이라면 자산회전이 빠를수록 ROE가 높아진다. 셋째, 자기자본승수는 총자산이 자기자본의 몇 배인지를 나타내므로 부채를 포함한 타인자본의 활용 정도를 간접적으로 보여준다. 자기자본승수가 높으면 ROE를 확대할 수 있지만 동시에 이자비용과 재무위험도 커질 수 있다.</w:t>
      </w:r>
    </w:p>
    <w:p>
      <w:pPr>
        <w:spacing w:before="0" w:after="100" w:line="343" w:lineRule="auto"/>
        <w:ind w:firstLine="425"/>
        <w:jc w:val="both"/>
      </w:pPr>
      <w:r>
        <w:rPr>
          <w:rFonts w:ascii="Malgun Gothic" w:hAnsi="Malgun Gothic" w:eastAsia="Malgun Gothic"/>
          <w:color w:val="222222"/>
          <w:sz w:val="20"/>
        </w:rPr>
        <w:t>보다 세밀한 원인분석이 필요할 때는 5단계 듀퐁모형을 활용할 수 있다. 이 방식은 순이익률을 세금부담, 이자부담, 영업수익성으로 세분화하여 세후이익이 만들어지는 과정을 보다 구체적으로 보여준다.</w:t>
      </w:r>
    </w:p>
    <w:tbl>
      <w:tblPr>
        <w:tblW w:type="auto" w:w="0"/>
        <w:jc w:val="center"/>
        <w:tblLayout w:type="fixed"/>
        <w:tblLook w:firstColumn="1" w:firstRow="1" w:lastColumn="0" w:lastRow="0" w:noHBand="0" w:noVBand="1" w:val="04A0"/>
        <w:tblBorders>
          <w:top w:val="single" w:sz="8" w:color="B7C9E2"/>
          <w:left w:val="single" w:sz="8" w:color="B7C9E2"/>
          <w:bottom w:val="single" w:sz="8" w:color="B7C9E2"/>
          <w:right w:val="single" w:sz="8" w:color="B7C9E2"/>
          <w:insideH w:val="single" w:sz="8" w:color="B7C9E2"/>
          <w:insideV w:val="single" w:sz="8" w:color="B7C9E2"/>
        </w:tblBorders>
      </w:tblPr>
      <w:tblGrid>
        <w:gridCol w:w="9518"/>
      </w:tblGrid>
      <w:tr>
        <w:tc>
          <w:tcPr>
            <w:tcW w:type="dxa" w:w="8901"/>
            <w:shd w:fill="EAF2F8"/>
            <w:tcMar>
              <w:top w:w="90" w:type="dxa"/>
              <w:start w:w="140" w:type="dxa"/>
              <w:bottom w:w="90" w:type="dxa"/>
              <w:end w:w="140" w:type="dxa"/>
            </w:tcMar>
          </w:tcPr>
          <w:p>
            <w:pPr>
              <w:spacing w:after="0"/>
              <w:jc w:val="center"/>
            </w:pPr>
            <w:r>
              <w:rPr>
                <w:rFonts w:ascii="Malgun Gothic" w:hAnsi="Malgun Gothic" w:eastAsia="Malgun Gothic"/>
                <w:b/>
                <w:color w:val="17365D"/>
                <w:sz w:val="19"/>
              </w:rPr>
              <w:t>ROE = (순이익/세전이익) × (세전이익/영업이익) × (영업이익/매출액) × (매출액/평균총자산) × (평균총자산/평균자기자본)</w:t>
            </w:r>
          </w:p>
        </w:tc>
      </w:tr>
    </w:tbl>
    <w:p>
      <w:pPr>
        <w:spacing w:after="80"/>
        <w:jc w:val="center"/>
      </w:pPr>
      <w:r>
        <w:rPr>
          <w:rFonts w:ascii="Malgun Gothic" w:hAnsi="Malgun Gothic" w:eastAsia="Malgun Gothic"/>
          <w:color w:val="666666"/>
          <w:sz w:val="17"/>
        </w:rPr>
        <w:t>5단계 듀퐁모형</w:t>
      </w:r>
    </w:p>
    <w:p>
      <w:pPr>
        <w:keepNext/>
        <w:spacing w:before="100" w:after="80"/>
      </w:pPr>
      <w:r>
        <w:rPr>
          <w:rFonts w:ascii="Malgun Gothic" w:hAnsi="Malgun Gothic" w:eastAsia="Malgun Gothic"/>
          <w:b/>
          <w:color w:val="2F5597"/>
          <w:sz w:val="24"/>
        </w:rPr>
        <w:t>2. 듀퐁분석의 의의</w:t>
      </w:r>
    </w:p>
    <w:p>
      <w:pPr>
        <w:spacing w:before="0" w:after="100" w:line="343" w:lineRule="auto"/>
        <w:ind w:firstLine="425"/>
        <w:jc w:val="both"/>
      </w:pPr>
      <w:r>
        <w:rPr>
          <w:rFonts w:ascii="Malgun Gothic" w:hAnsi="Malgun Gothic" w:eastAsia="Malgun Gothic"/>
          <w:color w:val="222222"/>
          <w:sz w:val="20"/>
        </w:rPr>
        <w:t>듀퐁분석의 가장 중요한 의의는 ROE를 하나의 결과치가 아니라 경영활동의 구조적 결과로 이해하게 한다는 점이다. Soliman(2008)은 듀퐁 구성요소가 기업의 운영 특성을 이해하는 데 유용한 정보를 제공하며 시장참여자들도 이러한 정보를 활용한다는 점을 실증적으로 보여주었다. 또한 Fairfield와 Yohn(2001)은 자산회전율과 이익률의 변화가 향후 수익성 변화를 분석하는 데 추가적인 정보를 제공할 수 있음을 제시하였다. 따라서 듀퐁분석은 비율계산을 넘어 성과진단과 원인분석을 연결하는 분석 틀로 볼 수 있다.</w:t>
      </w:r>
    </w:p>
    <w:p>
      <w:r>
        <w:br w:type="page"/>
      </w:r>
    </w:p>
    <w:p>
      <w:pPr>
        <w:keepNext/>
        <w:spacing w:before="40" w:after="200"/>
        <w:pBdr>
          <w:bottom w:val="single" w:sz="12" w:space="5" w:color="2F5597"/>
        </w:pBdr>
      </w:pPr>
      <w:r>
        <w:rPr>
          <w:rFonts w:ascii="Malgun Gothic" w:hAnsi="Malgun Gothic" w:eastAsia="Malgun Gothic"/>
          <w:b/>
          <w:color w:val="17365D"/>
          <w:sz w:val="32"/>
        </w:rPr>
        <w:t>Ⅱ. 본론 - 듀퐁분석의 활용법</w:t>
      </w:r>
    </w:p>
    <w:p>
      <w:pPr>
        <w:keepNext/>
        <w:spacing w:before="100" w:after="80"/>
      </w:pPr>
      <w:r>
        <w:rPr>
          <w:rFonts w:ascii="Malgun Gothic" w:hAnsi="Malgun Gothic" w:eastAsia="Malgun Gothic"/>
          <w:b/>
          <w:color w:val="2F5597"/>
          <w:sz w:val="24"/>
        </w:rPr>
        <w:t>3. 듀퐁분석의 활용법</w:t>
      </w:r>
    </w:p>
    <w:p>
      <w:pPr>
        <w:spacing w:before="0" w:after="100" w:line="343" w:lineRule="auto"/>
        <w:ind w:firstLine="425"/>
        <w:jc w:val="both"/>
      </w:pPr>
      <w:r>
        <w:rPr>
          <w:rFonts w:ascii="Malgun Gothic" w:hAnsi="Malgun Gothic" w:eastAsia="Malgun Gothic"/>
          <w:color w:val="222222"/>
          <w:sz w:val="20"/>
        </w:rPr>
        <w:t>듀퐁분석은 경영자, 투자자, 채권자 등 분석 목적에 따라 다양한 방식으로 활용할 수 있다. 핵심은 ROE의 절대수치보다 구성요소의 수준과 변화 방향을 함께 보는 것이다. 시계열 분석과 동종기업 비교를 병행하면 성과 차이를 만든 요인을 보다 명확히 파악할 수 있다.</w:t>
      </w:r>
    </w:p>
    <w:p>
      <w:pPr>
        <w:spacing w:after="60" w:line="312" w:lineRule="auto"/>
        <w:ind w:left="312" w:hanging="215"/>
        <w:jc w:val="both"/>
      </w:pPr>
      <w:r>
        <w:rPr>
          <w:rFonts w:ascii="Malgun Gothic" w:hAnsi="Malgun Gothic" w:eastAsia="Malgun Gothic"/>
          <w:color w:val="222222"/>
          <w:sz w:val="19"/>
        </w:rPr>
        <w:t>• 수익성 진단: 순이익률이 하락하였다면 판매가격, 제품믹스, 원재료비, 인건비, 판관비, 금융비용, 법인세 부담 등을 순차적으로 점검할 수 있다. 원가절감이나 고부가가치 제품 비중 확대가 필요한지 판단하는 근거가 된다.</w:t>
      </w:r>
    </w:p>
    <w:p>
      <w:pPr>
        <w:spacing w:after="60" w:line="312" w:lineRule="auto"/>
        <w:ind w:left="312" w:hanging="215"/>
        <w:jc w:val="both"/>
      </w:pPr>
      <w:r>
        <w:rPr>
          <w:rFonts w:ascii="Malgun Gothic" w:hAnsi="Malgun Gothic" w:eastAsia="Malgun Gothic"/>
          <w:color w:val="222222"/>
          <w:sz w:val="19"/>
        </w:rPr>
        <w:t>• 자산운용 효율성 진단: 총자산회전율이 낮다면 재고자산의 과잉, 매출채권 회수 지연, 유휴설비, 과도한 현금보유 등 자산 구성의 비효율을 의심할 수 있다. 자산 매각, 재고관리 개선, 설비가동률 향상 같은 운영개선 과제를 도출할 수 있다.</w:t>
      </w:r>
    </w:p>
    <w:p>
      <w:pPr>
        <w:spacing w:after="60" w:line="312" w:lineRule="auto"/>
        <w:ind w:left="312" w:hanging="215"/>
        <w:jc w:val="both"/>
      </w:pPr>
      <w:r>
        <w:rPr>
          <w:rFonts w:ascii="Malgun Gothic" w:hAnsi="Malgun Gothic" w:eastAsia="Malgun Gothic"/>
          <w:color w:val="222222"/>
          <w:sz w:val="19"/>
        </w:rPr>
        <w:t>• 자본구조와 위험 평가: 자기자본승수가 높아져 ROE가 상승했다면 부채 활용이 성과를 높였을 가능성이 있다. 그러나 차입 확대에 따른 이자부담과 유동성 위험도 증가할 수 있으므로 부채비율, 이자보상배율, 현금흐름 지표와 함께 해석해야 한다.</w:t>
      </w:r>
    </w:p>
    <w:p>
      <w:pPr>
        <w:spacing w:after="60" w:line="312" w:lineRule="auto"/>
        <w:ind w:left="312" w:hanging="215"/>
        <w:jc w:val="both"/>
      </w:pPr>
      <w:r>
        <w:rPr>
          <w:rFonts w:ascii="Malgun Gothic" w:hAnsi="Malgun Gothic" w:eastAsia="Malgun Gothic"/>
          <w:color w:val="222222"/>
          <w:sz w:val="19"/>
        </w:rPr>
        <w:t>• 동종기업 비교: 같은 산업의 기업들이 유사한 ROE를 보이더라도 경영전략은 다를 수 있다. 고마진·저회전 전략과 저마진·고회전 전략을 구분할 수 있으며, 산업 특성이 서로 다른 기업을 단순 비교하는 오류도 줄일 수 있다.</w:t>
      </w:r>
    </w:p>
    <w:p>
      <w:pPr>
        <w:spacing w:after="60" w:line="312" w:lineRule="auto"/>
        <w:ind w:left="312" w:hanging="215"/>
        <w:jc w:val="both"/>
      </w:pPr>
      <w:r>
        <w:rPr>
          <w:rFonts w:ascii="Malgun Gothic" w:hAnsi="Malgun Gothic" w:eastAsia="Malgun Gothic"/>
          <w:color w:val="222222"/>
          <w:sz w:val="19"/>
        </w:rPr>
        <w:t>• 목표관리와 시뮬레이션: 목표 ROE를 달성하기 위해 필요한 이익률, 자산회전율, 레버리지 수준을 역산할 수 있다. 예컨대 레버리지를 더 높이지 않는다는 조건 아래 ROE 개선 목표를 설정하면, 경영진은 영업이익률과 자산생산성 개선에 집중하는 방식으로 실행계획을 세울 수 있다.</w:t>
      </w:r>
    </w:p>
    <w:p>
      <w:pPr>
        <w:keepNext/>
        <w:spacing w:before="100" w:after="80"/>
      </w:pPr>
      <w:r>
        <w:rPr>
          <w:rFonts w:ascii="Malgun Gothic" w:hAnsi="Malgun Gothic" w:eastAsia="Malgun Gothic"/>
          <w:b/>
          <w:color w:val="2F5597"/>
          <w:sz w:val="24"/>
        </w:rPr>
        <w:t>활용 절차</w:t>
      </w:r>
    </w:p>
    <w:tbl>
      <w:tblPr>
        <w:tblW w:type="auto" w:w="0"/>
        <w:jc w:val="center"/>
        <w:tblLayout w:type="fixed"/>
        <w:tblLook w:firstColumn="1" w:firstRow="1" w:lastColumn="0" w:lastRow="0" w:noHBand="0" w:noVBand="1" w:val="04A0"/>
        <w:tblBorders>
          <w:top w:val="single" w:sz="6" w:color="B7C9E2"/>
          <w:left w:val="single" w:sz="6" w:color="B7C9E2"/>
          <w:bottom w:val="single" w:sz="6" w:color="B7C9E2"/>
          <w:right w:val="single" w:sz="6" w:color="B7C9E2"/>
          <w:insideH w:val="single" w:sz="6" w:color="B7C9E2"/>
          <w:insideV w:val="single" w:sz="6" w:color="B7C9E2"/>
        </w:tblBorders>
      </w:tblPr>
      <w:tblGrid>
        <w:gridCol w:w="1814"/>
        <w:gridCol w:w="7030"/>
      </w:tblGrid>
      <w:tr>
        <w:tc>
          <w:tcPr>
            <w:tcW w:type="dxa" w:w="4759"/>
            <w:shd w:fill="17365D"/>
            <w:tcMar>
              <w:top w:w="90" w:type="dxa"/>
              <w:start w:w="100" w:type="dxa"/>
              <w:bottom w:w="90" w:type="dxa"/>
              <w:end w:w="100" w:type="dxa"/>
            </w:tcMar>
            <w:vAlign w:val="center"/>
          </w:tcPr>
          <w:p>
            <w:pPr>
              <w:jc w:val="center"/>
            </w:pPr>
            <w:r>
              <w:rPr>
                <w:rFonts w:ascii="Malgun Gothic" w:hAnsi="Malgun Gothic" w:eastAsia="Malgun Gothic"/>
                <w:b/>
                <w:color w:val="FFFFFF"/>
                <w:sz w:val="19"/>
              </w:rPr>
              <w:t>단계</w:t>
            </w:r>
          </w:p>
        </w:tc>
        <w:tc>
          <w:tcPr>
            <w:tcW w:type="dxa" w:w="4759"/>
            <w:shd w:fill="17365D"/>
            <w:tcMar>
              <w:top w:w="90" w:type="dxa"/>
              <w:start w:w="100" w:type="dxa"/>
              <w:bottom w:w="90" w:type="dxa"/>
              <w:end w:w="100" w:type="dxa"/>
            </w:tcMar>
            <w:vAlign w:val="center"/>
          </w:tcPr>
          <w:p>
            <w:pPr>
              <w:jc w:val="center"/>
            </w:pPr>
            <w:r>
              <w:rPr>
                <w:rFonts w:ascii="Malgun Gothic" w:hAnsi="Malgun Gothic" w:eastAsia="Malgun Gothic"/>
                <w:b/>
                <w:color w:val="FFFFFF"/>
                <w:sz w:val="19"/>
              </w:rPr>
              <w:t>주요 내용</w:t>
            </w:r>
          </w:p>
        </w:tc>
      </w:tr>
      <w:tr>
        <w:tc>
          <w:tcPr>
            <w:tcW w:type="dxa" w:w="1814"/>
            <w:tcMar>
              <w:top w:w="55" w:type="dxa"/>
              <w:start w:w="80" w:type="dxa"/>
              <w:bottom w:w="55" w:type="dxa"/>
              <w:end w:w="80" w:type="dxa"/>
            </w:tcMar>
            <w:vAlign w:val="center"/>
          </w:tcPr>
          <w:p>
            <w:pPr>
              <w:spacing w:after="0" w:line="269" w:lineRule="auto"/>
              <w:jc w:val="center"/>
            </w:pPr>
            <w:r>
              <w:rPr>
                <w:rFonts w:ascii="Malgun Gothic" w:hAnsi="Malgun Gothic" w:eastAsia="Malgun Gothic"/>
                <w:b/>
                <w:color w:val="222222"/>
                <w:sz w:val="17"/>
              </w:rPr>
              <w:t>① 자료 수집</w:t>
            </w:r>
          </w:p>
        </w:tc>
        <w:tc>
          <w:tcPr>
            <w:tcW w:type="dxa" w:w="7030"/>
            <w:tcMar>
              <w:top w:w="55" w:type="dxa"/>
              <w:start w:w="80" w:type="dxa"/>
              <w:bottom w:w="55" w:type="dxa"/>
              <w:end w:w="80" w:type="dxa"/>
            </w:tcMar>
            <w:vAlign w:val="center"/>
          </w:tcPr>
          <w:p>
            <w:pPr>
              <w:spacing w:after="0" w:line="269" w:lineRule="auto"/>
              <w:jc w:val="left"/>
            </w:pPr>
            <w:r>
              <w:rPr>
                <w:rFonts w:ascii="Malgun Gothic" w:hAnsi="Malgun Gothic" w:eastAsia="Malgun Gothic"/>
                <w:b w:val="0"/>
                <w:color w:val="222222"/>
                <w:sz w:val="17"/>
              </w:rPr>
              <w:t>손익계산서의 매출액·당기순이익, 재무상태표의 총자산·자기자본을 확보한다.</w:t>
            </w:r>
          </w:p>
        </w:tc>
      </w:tr>
      <w:tr>
        <w:tc>
          <w:tcPr>
            <w:tcW w:type="dxa" w:w="1814"/>
            <w:tcMar>
              <w:top w:w="55" w:type="dxa"/>
              <w:start w:w="80" w:type="dxa"/>
              <w:bottom w:w="55" w:type="dxa"/>
              <w:end w:w="80" w:type="dxa"/>
            </w:tcMar>
            <w:vAlign w:val="center"/>
          </w:tcPr>
          <w:p>
            <w:pPr>
              <w:spacing w:after="0" w:line="269" w:lineRule="auto"/>
              <w:jc w:val="center"/>
            </w:pPr>
            <w:r>
              <w:rPr>
                <w:rFonts w:ascii="Malgun Gothic" w:hAnsi="Malgun Gothic" w:eastAsia="Malgun Gothic"/>
                <w:b/>
                <w:color w:val="222222"/>
                <w:sz w:val="17"/>
              </w:rPr>
              <w:t>② 평균잔액 계산</w:t>
            </w:r>
          </w:p>
        </w:tc>
        <w:tc>
          <w:tcPr>
            <w:tcW w:type="dxa" w:w="7030"/>
            <w:tcMar>
              <w:top w:w="55" w:type="dxa"/>
              <w:start w:w="80" w:type="dxa"/>
              <w:bottom w:w="55" w:type="dxa"/>
              <w:end w:w="80" w:type="dxa"/>
            </w:tcMar>
            <w:vAlign w:val="center"/>
          </w:tcPr>
          <w:p>
            <w:pPr>
              <w:spacing w:after="0" w:line="269" w:lineRule="auto"/>
              <w:jc w:val="left"/>
            </w:pPr>
            <w:r>
              <w:rPr>
                <w:rFonts w:ascii="Malgun Gothic" w:hAnsi="Malgun Gothic" w:eastAsia="Malgun Gothic"/>
                <w:b w:val="0"/>
                <w:color w:val="222222"/>
                <w:sz w:val="17"/>
              </w:rPr>
              <w:t>기간 중 발생한 손익과 대응시키기 위해 총자산과 자기자본은 기초·기말 평균을 사용하는 것이 일반적이다.</w:t>
            </w:r>
          </w:p>
        </w:tc>
      </w:tr>
      <w:tr>
        <w:tc>
          <w:tcPr>
            <w:tcW w:type="dxa" w:w="1814"/>
            <w:tcMar>
              <w:top w:w="55" w:type="dxa"/>
              <w:start w:w="80" w:type="dxa"/>
              <w:bottom w:w="55" w:type="dxa"/>
              <w:end w:w="80" w:type="dxa"/>
            </w:tcMar>
            <w:vAlign w:val="center"/>
          </w:tcPr>
          <w:p>
            <w:pPr>
              <w:spacing w:after="0" w:line="269" w:lineRule="auto"/>
              <w:jc w:val="center"/>
            </w:pPr>
            <w:r>
              <w:rPr>
                <w:rFonts w:ascii="Malgun Gothic" w:hAnsi="Malgun Gothic" w:eastAsia="Malgun Gothic"/>
                <w:b/>
                <w:color w:val="222222"/>
                <w:sz w:val="17"/>
              </w:rPr>
              <w:t>③ 세 구성요소 산출</w:t>
            </w:r>
          </w:p>
        </w:tc>
        <w:tc>
          <w:tcPr>
            <w:tcW w:type="dxa" w:w="7030"/>
            <w:tcMar>
              <w:top w:w="55" w:type="dxa"/>
              <w:start w:w="80" w:type="dxa"/>
              <w:bottom w:w="55" w:type="dxa"/>
              <w:end w:w="80" w:type="dxa"/>
            </w:tcMar>
            <w:vAlign w:val="center"/>
          </w:tcPr>
          <w:p>
            <w:pPr>
              <w:spacing w:after="0" w:line="269" w:lineRule="auto"/>
              <w:jc w:val="left"/>
            </w:pPr>
            <w:r>
              <w:rPr>
                <w:rFonts w:ascii="Malgun Gothic" w:hAnsi="Malgun Gothic" w:eastAsia="Malgun Gothic"/>
                <w:b w:val="0"/>
                <w:color w:val="222222"/>
                <w:sz w:val="17"/>
              </w:rPr>
              <w:t>순이익률, 총자산회전율, 자기자본승수를 각각 계산하고 곱하여 ROE와 일치하는지 확인한다.</w:t>
            </w:r>
          </w:p>
        </w:tc>
      </w:tr>
      <w:tr>
        <w:tc>
          <w:tcPr>
            <w:tcW w:type="dxa" w:w="1814"/>
            <w:tcMar>
              <w:top w:w="55" w:type="dxa"/>
              <w:start w:w="80" w:type="dxa"/>
              <w:bottom w:w="55" w:type="dxa"/>
              <w:end w:w="80" w:type="dxa"/>
            </w:tcMar>
            <w:vAlign w:val="center"/>
          </w:tcPr>
          <w:p>
            <w:pPr>
              <w:spacing w:after="0" w:line="269" w:lineRule="auto"/>
              <w:jc w:val="center"/>
            </w:pPr>
            <w:r>
              <w:rPr>
                <w:rFonts w:ascii="Malgun Gothic" w:hAnsi="Malgun Gothic" w:eastAsia="Malgun Gothic"/>
                <w:b/>
                <w:color w:val="222222"/>
                <w:sz w:val="17"/>
              </w:rPr>
              <w:t>④ 전년·동종사 비교</w:t>
            </w:r>
          </w:p>
        </w:tc>
        <w:tc>
          <w:tcPr>
            <w:tcW w:type="dxa" w:w="7030"/>
            <w:tcMar>
              <w:top w:w="55" w:type="dxa"/>
              <w:start w:w="80" w:type="dxa"/>
              <w:bottom w:w="55" w:type="dxa"/>
              <w:end w:w="80" w:type="dxa"/>
            </w:tcMar>
            <w:vAlign w:val="center"/>
          </w:tcPr>
          <w:p>
            <w:pPr>
              <w:spacing w:after="0" w:line="269" w:lineRule="auto"/>
              <w:jc w:val="left"/>
            </w:pPr>
            <w:r>
              <w:rPr>
                <w:rFonts w:ascii="Malgun Gothic" w:hAnsi="Malgun Gothic" w:eastAsia="Malgun Gothic"/>
                <w:b w:val="0"/>
                <w:color w:val="222222"/>
                <w:sz w:val="17"/>
              </w:rPr>
              <w:t>각 지표의 방향과 변화 폭을 비교하여 성과변화의 주된 요인을 찾는다.</w:t>
            </w:r>
          </w:p>
        </w:tc>
      </w:tr>
      <w:tr>
        <w:tc>
          <w:tcPr>
            <w:tcW w:type="dxa" w:w="1814"/>
            <w:tcMar>
              <w:top w:w="55" w:type="dxa"/>
              <w:start w:w="80" w:type="dxa"/>
              <w:bottom w:w="55" w:type="dxa"/>
              <w:end w:w="80" w:type="dxa"/>
            </w:tcMar>
            <w:vAlign w:val="center"/>
          </w:tcPr>
          <w:p>
            <w:pPr>
              <w:spacing w:after="0" w:line="269" w:lineRule="auto"/>
              <w:jc w:val="center"/>
            </w:pPr>
            <w:r>
              <w:rPr>
                <w:rFonts w:ascii="Malgun Gothic" w:hAnsi="Malgun Gothic" w:eastAsia="Malgun Gothic"/>
                <w:b/>
                <w:color w:val="222222"/>
                <w:sz w:val="17"/>
              </w:rPr>
              <w:t>⑤ 경영적 해석</w:t>
            </w:r>
          </w:p>
        </w:tc>
        <w:tc>
          <w:tcPr>
            <w:tcW w:type="dxa" w:w="7030"/>
            <w:tcMar>
              <w:top w:w="55" w:type="dxa"/>
              <w:start w:w="80" w:type="dxa"/>
              <w:bottom w:w="55" w:type="dxa"/>
              <w:end w:w="80" w:type="dxa"/>
            </w:tcMar>
            <w:vAlign w:val="center"/>
          </w:tcPr>
          <w:p>
            <w:pPr>
              <w:spacing w:after="0" w:line="269" w:lineRule="auto"/>
              <w:jc w:val="left"/>
            </w:pPr>
            <w:r>
              <w:rPr>
                <w:rFonts w:ascii="Malgun Gothic" w:hAnsi="Malgun Gothic" w:eastAsia="Malgun Gothic"/>
                <w:b w:val="0"/>
                <w:color w:val="222222"/>
                <w:sz w:val="17"/>
              </w:rPr>
              <w:t>개선된 ROE가 수익성·효율성 개선에서 비롯된 것인지, 위험을 수반하는 레버리지 확대에서 비롯된 것인지 판단한다.</w:t>
            </w:r>
          </w:p>
        </w:tc>
      </w:tr>
    </w:tbl>
    <w:p>
      <w:r>
        <w:br w:type="page"/>
      </w:r>
    </w:p>
    <w:p>
      <w:pPr>
        <w:keepNext/>
        <w:spacing w:before="40" w:after="200"/>
        <w:pBdr>
          <w:bottom w:val="single" w:sz="12" w:space="5" w:color="2F5597"/>
        </w:pBdr>
      </w:pPr>
      <w:r>
        <w:rPr>
          <w:rFonts w:ascii="Malgun Gothic" w:hAnsi="Malgun Gothic" w:eastAsia="Malgun Gothic"/>
          <w:b/>
          <w:color w:val="17365D"/>
          <w:sz w:val="32"/>
        </w:rPr>
        <w:t>Ⅱ. 본론 - 실제 활용 예시</w:t>
      </w:r>
    </w:p>
    <w:p>
      <w:pPr>
        <w:keepNext/>
        <w:spacing w:before="100" w:after="80"/>
      </w:pPr>
      <w:r>
        <w:rPr>
          <w:rFonts w:ascii="Malgun Gothic" w:hAnsi="Malgun Gothic" w:eastAsia="Malgun Gothic"/>
          <w:b/>
          <w:color w:val="2F5597"/>
          <w:sz w:val="24"/>
        </w:rPr>
        <w:t>4. 실제 활용 예시: 삼성전자 2023년과 2024년 비교</w:t>
      </w:r>
    </w:p>
    <w:p>
      <w:pPr>
        <w:spacing w:before="0" w:after="100" w:line="343" w:lineRule="auto"/>
        <w:ind w:firstLine="425"/>
        <w:jc w:val="both"/>
      </w:pPr>
      <w:r>
        <w:rPr>
          <w:rFonts w:ascii="Malgun Gothic" w:hAnsi="Malgun Gothic" w:eastAsia="Malgun Gothic"/>
          <w:color w:val="222222"/>
          <w:sz w:val="20"/>
        </w:rPr>
        <w:t>실제 활용 예시로 삼성전자의 연결재무제표에 3단계 듀퐁모형을 적용하였다. 삼성전자의 2024년 연결 매출액은 300조 8,709억 원, 당기순이익은 34조 4,514억 원이며, 2023년에는 매출액 258조 9,355억 원, 당기순이익 15조 4,871억 원을 기록하였다. 총자산과 총자본은 각 연도 말 연결재무상태표 수치를 이용하였고, 총자산회전율과 자기자본승수 계산에는 기초와 기말의 평균잔액을 사용하였다. 비교의 일관성을 위해 당기순이익과 총자본 모두 비지배지분을 포함한 연결 기준으로 계산하였다.</w:t>
      </w:r>
    </w:p>
    <w:tbl>
      <w:tblPr>
        <w:tblW w:type="auto" w:w="0"/>
        <w:jc w:val="center"/>
        <w:tblLayout w:type="fixed"/>
        <w:tblLook w:firstColumn="1" w:firstRow="1" w:lastColumn="0" w:lastRow="0" w:noHBand="0" w:noVBand="1" w:val="04A0"/>
        <w:tblBorders>
          <w:top w:val="single" w:sz="6" w:color="B7C9E2"/>
          <w:left w:val="single" w:sz="6" w:color="B7C9E2"/>
          <w:bottom w:val="single" w:sz="6" w:color="B7C9E2"/>
          <w:right w:val="single" w:sz="6" w:color="B7C9E2"/>
          <w:insideH w:val="single" w:sz="6" w:color="B7C9E2"/>
          <w:insideV w:val="single" w:sz="6" w:color="B7C9E2"/>
        </w:tblBorders>
      </w:tblPr>
      <w:tblGrid>
        <w:gridCol w:w="2891"/>
        <w:gridCol w:w="1984"/>
        <w:gridCol w:w="1984"/>
        <w:gridCol w:w="1814"/>
      </w:tblGrid>
      <w:tr>
        <w:tc>
          <w:tcPr>
            <w:tcW w:type="dxa" w:w="2379"/>
            <w:shd w:fill="17365D"/>
            <w:tcMar>
              <w:top w:w="80" w:type="dxa"/>
              <w:start w:w="90" w:type="dxa"/>
              <w:bottom w:w="80" w:type="dxa"/>
              <w:end w:w="90" w:type="dxa"/>
            </w:tcMar>
          </w:tcPr>
          <w:p>
            <w:pPr>
              <w:jc w:val="center"/>
            </w:pPr>
            <w:r>
              <w:rPr>
                <w:rFonts w:ascii="Malgun Gothic" w:hAnsi="Malgun Gothic" w:eastAsia="Malgun Gothic"/>
                <w:b/>
                <w:color w:val="FFFFFF"/>
                <w:sz w:val="18"/>
              </w:rPr>
              <w:t>구분</w:t>
            </w:r>
          </w:p>
        </w:tc>
        <w:tc>
          <w:tcPr>
            <w:tcW w:type="dxa" w:w="2379"/>
            <w:shd w:fill="17365D"/>
            <w:tcMar>
              <w:top w:w="80" w:type="dxa"/>
              <w:start w:w="90" w:type="dxa"/>
              <w:bottom w:w="80" w:type="dxa"/>
              <w:end w:w="90" w:type="dxa"/>
            </w:tcMar>
          </w:tcPr>
          <w:p>
            <w:pPr>
              <w:jc w:val="center"/>
            </w:pPr>
            <w:r>
              <w:rPr>
                <w:rFonts w:ascii="Malgun Gothic" w:hAnsi="Malgun Gothic" w:eastAsia="Malgun Gothic"/>
                <w:b/>
                <w:color w:val="FFFFFF"/>
                <w:sz w:val="18"/>
              </w:rPr>
              <w:t>2023년</w:t>
            </w:r>
          </w:p>
        </w:tc>
        <w:tc>
          <w:tcPr>
            <w:tcW w:type="dxa" w:w="2379"/>
            <w:shd w:fill="17365D"/>
            <w:tcMar>
              <w:top w:w="80" w:type="dxa"/>
              <w:start w:w="90" w:type="dxa"/>
              <w:bottom w:w="80" w:type="dxa"/>
              <w:end w:w="90" w:type="dxa"/>
            </w:tcMar>
          </w:tcPr>
          <w:p>
            <w:pPr>
              <w:jc w:val="center"/>
            </w:pPr>
            <w:r>
              <w:rPr>
                <w:rFonts w:ascii="Malgun Gothic" w:hAnsi="Malgun Gothic" w:eastAsia="Malgun Gothic"/>
                <w:b/>
                <w:color w:val="FFFFFF"/>
                <w:sz w:val="18"/>
              </w:rPr>
              <w:t>2024년</w:t>
            </w:r>
          </w:p>
        </w:tc>
        <w:tc>
          <w:tcPr>
            <w:tcW w:type="dxa" w:w="2379"/>
            <w:shd w:fill="17365D"/>
            <w:tcMar>
              <w:top w:w="80" w:type="dxa"/>
              <w:start w:w="90" w:type="dxa"/>
              <w:bottom w:w="80" w:type="dxa"/>
              <w:end w:w="90" w:type="dxa"/>
            </w:tcMar>
          </w:tcPr>
          <w:p>
            <w:pPr>
              <w:jc w:val="center"/>
            </w:pPr>
            <w:r>
              <w:rPr>
                <w:rFonts w:ascii="Malgun Gothic" w:hAnsi="Malgun Gothic" w:eastAsia="Malgun Gothic"/>
                <w:b/>
                <w:color w:val="FFFFFF"/>
                <w:sz w:val="18"/>
              </w:rPr>
              <w:t>변화</w:t>
            </w:r>
          </w:p>
        </w:tc>
      </w:tr>
      <w:tr>
        <w:tc>
          <w:tcPr>
            <w:tcW w:type="dxa" w:w="2891"/>
            <w:tcMar>
              <w:top w:w="48" w:type="dxa"/>
              <w:start w:w="65" w:type="dxa"/>
              <w:bottom w:w="48" w:type="dxa"/>
              <w:end w:w="65" w:type="dxa"/>
            </w:tcMar>
            <w:vAlign w:val="center"/>
          </w:tcPr>
          <w:p>
            <w:pPr>
              <w:spacing w:after="0"/>
              <w:jc w:val="left"/>
            </w:pPr>
            <w:r>
              <w:rPr>
                <w:rFonts w:ascii="Malgun Gothic" w:hAnsi="Malgun Gothic" w:eastAsia="Malgun Gothic"/>
                <w:b w:val="0"/>
                <w:color w:val="222222"/>
                <w:sz w:val="16"/>
              </w:rPr>
              <w:t>매출액(조 원)</w:t>
            </w:r>
          </w:p>
        </w:tc>
        <w:tc>
          <w:tcPr>
            <w:tcW w:type="dxa" w:w="1984"/>
            <w:tcMar>
              <w:top w:w="48" w:type="dxa"/>
              <w:start w:w="65" w:type="dxa"/>
              <w:bottom w:w="48" w:type="dxa"/>
              <w:end w:w="65" w:type="dxa"/>
            </w:tcMar>
            <w:vAlign w:val="center"/>
          </w:tcPr>
          <w:p>
            <w:pPr>
              <w:spacing w:after="0"/>
              <w:jc w:val="center"/>
            </w:pPr>
            <w:r>
              <w:rPr>
                <w:rFonts w:ascii="Malgun Gothic" w:hAnsi="Malgun Gothic" w:eastAsia="Malgun Gothic"/>
                <w:b w:val="0"/>
                <w:color w:val="222222"/>
                <w:sz w:val="16"/>
              </w:rPr>
              <w:t>258.94</w:t>
            </w:r>
          </w:p>
        </w:tc>
        <w:tc>
          <w:tcPr>
            <w:tcW w:type="dxa" w:w="1984"/>
            <w:tcMar>
              <w:top w:w="48" w:type="dxa"/>
              <w:start w:w="65" w:type="dxa"/>
              <w:bottom w:w="48" w:type="dxa"/>
              <w:end w:w="65" w:type="dxa"/>
            </w:tcMar>
            <w:vAlign w:val="center"/>
          </w:tcPr>
          <w:p>
            <w:pPr>
              <w:spacing w:after="0"/>
              <w:jc w:val="center"/>
            </w:pPr>
            <w:r>
              <w:rPr>
                <w:rFonts w:ascii="Malgun Gothic" w:hAnsi="Malgun Gothic" w:eastAsia="Malgun Gothic"/>
                <w:b w:val="0"/>
                <w:color w:val="222222"/>
                <w:sz w:val="16"/>
              </w:rPr>
              <w:t>300.87</w:t>
            </w:r>
          </w:p>
        </w:tc>
        <w:tc>
          <w:tcPr>
            <w:tcW w:type="dxa" w:w="1814"/>
            <w:tcMar>
              <w:top w:w="48" w:type="dxa"/>
              <w:start w:w="65" w:type="dxa"/>
              <w:bottom w:w="48" w:type="dxa"/>
              <w:end w:w="65" w:type="dxa"/>
            </w:tcMar>
            <w:vAlign w:val="center"/>
          </w:tcPr>
          <w:p>
            <w:pPr>
              <w:spacing w:after="0"/>
              <w:jc w:val="center"/>
            </w:pPr>
            <w:r>
              <w:rPr>
                <w:rFonts w:ascii="Malgun Gothic" w:hAnsi="Malgun Gothic" w:eastAsia="Malgun Gothic"/>
                <w:b w:val="0"/>
                <w:color w:val="222222"/>
                <w:sz w:val="16"/>
              </w:rPr>
              <w:t>+16.2%</w:t>
            </w:r>
          </w:p>
        </w:tc>
      </w:tr>
      <w:tr>
        <w:tc>
          <w:tcPr>
            <w:tcW w:type="dxa" w:w="2891"/>
            <w:tcMar>
              <w:top w:w="48" w:type="dxa"/>
              <w:start w:w="65" w:type="dxa"/>
              <w:bottom w:w="48" w:type="dxa"/>
              <w:end w:w="65" w:type="dxa"/>
            </w:tcMar>
            <w:vAlign w:val="center"/>
          </w:tcPr>
          <w:p>
            <w:pPr>
              <w:spacing w:after="0"/>
              <w:jc w:val="left"/>
            </w:pPr>
            <w:r>
              <w:rPr>
                <w:rFonts w:ascii="Malgun Gothic" w:hAnsi="Malgun Gothic" w:eastAsia="Malgun Gothic"/>
                <w:b w:val="0"/>
                <w:color w:val="222222"/>
                <w:sz w:val="16"/>
              </w:rPr>
              <w:t>당기순이익(조 원)</w:t>
            </w:r>
          </w:p>
        </w:tc>
        <w:tc>
          <w:tcPr>
            <w:tcW w:type="dxa" w:w="1984"/>
            <w:tcMar>
              <w:top w:w="48" w:type="dxa"/>
              <w:start w:w="65" w:type="dxa"/>
              <w:bottom w:w="48" w:type="dxa"/>
              <w:end w:w="65" w:type="dxa"/>
            </w:tcMar>
            <w:vAlign w:val="center"/>
          </w:tcPr>
          <w:p>
            <w:pPr>
              <w:spacing w:after="0"/>
              <w:jc w:val="center"/>
            </w:pPr>
            <w:r>
              <w:rPr>
                <w:rFonts w:ascii="Malgun Gothic" w:hAnsi="Malgun Gothic" w:eastAsia="Malgun Gothic"/>
                <w:b w:val="0"/>
                <w:color w:val="222222"/>
                <w:sz w:val="16"/>
              </w:rPr>
              <w:t>15.49</w:t>
            </w:r>
          </w:p>
        </w:tc>
        <w:tc>
          <w:tcPr>
            <w:tcW w:type="dxa" w:w="1984"/>
            <w:tcMar>
              <w:top w:w="48" w:type="dxa"/>
              <w:start w:w="65" w:type="dxa"/>
              <w:bottom w:w="48" w:type="dxa"/>
              <w:end w:w="65" w:type="dxa"/>
            </w:tcMar>
            <w:vAlign w:val="center"/>
          </w:tcPr>
          <w:p>
            <w:pPr>
              <w:spacing w:after="0"/>
              <w:jc w:val="center"/>
            </w:pPr>
            <w:r>
              <w:rPr>
                <w:rFonts w:ascii="Malgun Gothic" w:hAnsi="Malgun Gothic" w:eastAsia="Malgun Gothic"/>
                <w:b w:val="0"/>
                <w:color w:val="222222"/>
                <w:sz w:val="16"/>
              </w:rPr>
              <w:t>34.45</w:t>
            </w:r>
          </w:p>
        </w:tc>
        <w:tc>
          <w:tcPr>
            <w:tcW w:type="dxa" w:w="1814"/>
            <w:tcMar>
              <w:top w:w="48" w:type="dxa"/>
              <w:start w:w="65" w:type="dxa"/>
              <w:bottom w:w="48" w:type="dxa"/>
              <w:end w:w="65" w:type="dxa"/>
            </w:tcMar>
            <w:vAlign w:val="center"/>
          </w:tcPr>
          <w:p>
            <w:pPr>
              <w:spacing w:after="0"/>
              <w:jc w:val="center"/>
            </w:pPr>
            <w:r>
              <w:rPr>
                <w:rFonts w:ascii="Malgun Gothic" w:hAnsi="Malgun Gothic" w:eastAsia="Malgun Gothic"/>
                <w:b w:val="0"/>
                <w:color w:val="222222"/>
                <w:sz w:val="16"/>
              </w:rPr>
              <w:t>+122.4%</w:t>
            </w:r>
          </w:p>
        </w:tc>
      </w:tr>
      <w:tr>
        <w:tc>
          <w:tcPr>
            <w:tcW w:type="dxa" w:w="2891"/>
            <w:tcMar>
              <w:top w:w="48" w:type="dxa"/>
              <w:start w:w="65" w:type="dxa"/>
              <w:bottom w:w="48" w:type="dxa"/>
              <w:end w:w="65" w:type="dxa"/>
            </w:tcMar>
            <w:vAlign w:val="center"/>
          </w:tcPr>
          <w:p>
            <w:pPr>
              <w:spacing w:after="0"/>
              <w:jc w:val="left"/>
            </w:pPr>
            <w:r>
              <w:rPr>
                <w:rFonts w:ascii="Malgun Gothic" w:hAnsi="Malgun Gothic" w:eastAsia="Malgun Gothic"/>
                <w:b w:val="0"/>
                <w:color w:val="222222"/>
                <w:sz w:val="16"/>
              </w:rPr>
              <w:t>평균총자산(조 원)</w:t>
            </w:r>
          </w:p>
        </w:tc>
        <w:tc>
          <w:tcPr>
            <w:tcW w:type="dxa" w:w="1984"/>
            <w:tcMar>
              <w:top w:w="48" w:type="dxa"/>
              <w:start w:w="65" w:type="dxa"/>
              <w:bottom w:w="48" w:type="dxa"/>
              <w:end w:w="65" w:type="dxa"/>
            </w:tcMar>
            <w:vAlign w:val="center"/>
          </w:tcPr>
          <w:p>
            <w:pPr>
              <w:spacing w:after="0"/>
              <w:jc w:val="center"/>
            </w:pPr>
            <w:r>
              <w:rPr>
                <w:rFonts w:ascii="Malgun Gothic" w:hAnsi="Malgun Gothic" w:eastAsia="Malgun Gothic"/>
                <w:b w:val="0"/>
                <w:color w:val="222222"/>
                <w:sz w:val="16"/>
              </w:rPr>
              <w:t>452.17</w:t>
            </w:r>
          </w:p>
        </w:tc>
        <w:tc>
          <w:tcPr>
            <w:tcW w:type="dxa" w:w="1984"/>
            <w:tcMar>
              <w:top w:w="48" w:type="dxa"/>
              <w:start w:w="65" w:type="dxa"/>
              <w:bottom w:w="48" w:type="dxa"/>
              <w:end w:w="65" w:type="dxa"/>
            </w:tcMar>
            <w:vAlign w:val="center"/>
          </w:tcPr>
          <w:p>
            <w:pPr>
              <w:spacing w:after="0"/>
              <w:jc w:val="center"/>
            </w:pPr>
            <w:r>
              <w:rPr>
                <w:rFonts w:ascii="Malgun Gothic" w:hAnsi="Malgun Gothic" w:eastAsia="Malgun Gothic"/>
                <w:b w:val="0"/>
                <w:color w:val="222222"/>
                <w:sz w:val="16"/>
              </w:rPr>
              <w:t>485.22</w:t>
            </w:r>
          </w:p>
        </w:tc>
        <w:tc>
          <w:tcPr>
            <w:tcW w:type="dxa" w:w="1814"/>
            <w:tcMar>
              <w:top w:w="48" w:type="dxa"/>
              <w:start w:w="65" w:type="dxa"/>
              <w:bottom w:w="48" w:type="dxa"/>
              <w:end w:w="65" w:type="dxa"/>
            </w:tcMar>
            <w:vAlign w:val="center"/>
          </w:tcPr>
          <w:p>
            <w:pPr>
              <w:spacing w:after="0"/>
              <w:jc w:val="center"/>
            </w:pPr>
            <w:r>
              <w:rPr>
                <w:rFonts w:ascii="Malgun Gothic" w:hAnsi="Malgun Gothic" w:eastAsia="Malgun Gothic"/>
                <w:b w:val="0"/>
                <w:color w:val="222222"/>
                <w:sz w:val="16"/>
              </w:rPr>
              <w:t>+7.3%</w:t>
            </w:r>
          </w:p>
        </w:tc>
      </w:tr>
      <w:tr>
        <w:tc>
          <w:tcPr>
            <w:tcW w:type="dxa" w:w="2891"/>
            <w:tcMar>
              <w:top w:w="48" w:type="dxa"/>
              <w:start w:w="65" w:type="dxa"/>
              <w:bottom w:w="48" w:type="dxa"/>
              <w:end w:w="65" w:type="dxa"/>
            </w:tcMar>
            <w:vAlign w:val="center"/>
          </w:tcPr>
          <w:p>
            <w:pPr>
              <w:spacing w:after="0"/>
              <w:jc w:val="left"/>
            </w:pPr>
            <w:r>
              <w:rPr>
                <w:rFonts w:ascii="Malgun Gothic" w:hAnsi="Malgun Gothic" w:eastAsia="Malgun Gothic"/>
                <w:b w:val="0"/>
                <w:color w:val="222222"/>
                <w:sz w:val="16"/>
              </w:rPr>
              <w:t>평균자기자본(조 원)</w:t>
            </w:r>
          </w:p>
        </w:tc>
        <w:tc>
          <w:tcPr>
            <w:tcW w:type="dxa" w:w="1984"/>
            <w:tcMar>
              <w:top w:w="48" w:type="dxa"/>
              <w:start w:w="65" w:type="dxa"/>
              <w:bottom w:w="48" w:type="dxa"/>
              <w:end w:w="65" w:type="dxa"/>
            </w:tcMar>
            <w:vAlign w:val="center"/>
          </w:tcPr>
          <w:p>
            <w:pPr>
              <w:spacing w:after="0"/>
              <w:jc w:val="center"/>
            </w:pPr>
            <w:r>
              <w:rPr>
                <w:rFonts w:ascii="Malgun Gothic" w:hAnsi="Malgun Gothic" w:eastAsia="Malgun Gothic"/>
                <w:b w:val="0"/>
                <w:color w:val="222222"/>
                <w:sz w:val="16"/>
              </w:rPr>
              <w:t>359.21</w:t>
            </w:r>
          </w:p>
        </w:tc>
        <w:tc>
          <w:tcPr>
            <w:tcW w:type="dxa" w:w="1984"/>
            <w:tcMar>
              <w:top w:w="48" w:type="dxa"/>
              <w:start w:w="65" w:type="dxa"/>
              <w:bottom w:w="48" w:type="dxa"/>
              <w:end w:w="65" w:type="dxa"/>
            </w:tcMar>
            <w:vAlign w:val="center"/>
          </w:tcPr>
          <w:p>
            <w:pPr>
              <w:spacing w:after="0"/>
              <w:jc w:val="center"/>
            </w:pPr>
            <w:r>
              <w:rPr>
                <w:rFonts w:ascii="Malgun Gothic" w:hAnsi="Malgun Gothic" w:eastAsia="Malgun Gothic"/>
                <w:b w:val="0"/>
                <w:color w:val="222222"/>
                <w:sz w:val="16"/>
              </w:rPr>
              <w:t>382.93</w:t>
            </w:r>
          </w:p>
        </w:tc>
        <w:tc>
          <w:tcPr>
            <w:tcW w:type="dxa" w:w="1814"/>
            <w:tcMar>
              <w:top w:w="48" w:type="dxa"/>
              <w:start w:w="65" w:type="dxa"/>
              <w:bottom w:w="48" w:type="dxa"/>
              <w:end w:w="65" w:type="dxa"/>
            </w:tcMar>
            <w:vAlign w:val="center"/>
          </w:tcPr>
          <w:p>
            <w:pPr>
              <w:spacing w:after="0"/>
              <w:jc w:val="center"/>
            </w:pPr>
            <w:r>
              <w:rPr>
                <w:rFonts w:ascii="Malgun Gothic" w:hAnsi="Malgun Gothic" w:eastAsia="Malgun Gothic"/>
                <w:b w:val="0"/>
                <w:color w:val="222222"/>
                <w:sz w:val="16"/>
              </w:rPr>
              <w:t>+6.6%</w:t>
            </w:r>
          </w:p>
        </w:tc>
      </w:tr>
      <w:tr>
        <w:tc>
          <w:tcPr>
            <w:tcW w:type="dxa" w:w="2891"/>
            <w:tcMar>
              <w:top w:w="48" w:type="dxa"/>
              <w:start w:w="65" w:type="dxa"/>
              <w:bottom w:w="48" w:type="dxa"/>
              <w:end w:w="65" w:type="dxa"/>
            </w:tcMar>
            <w:vAlign w:val="center"/>
            <w:shd w:fill="F6F8FB"/>
          </w:tcPr>
          <w:p>
            <w:pPr>
              <w:spacing w:after="0"/>
              <w:jc w:val="left"/>
            </w:pPr>
            <w:r>
              <w:rPr>
                <w:rFonts w:ascii="Malgun Gothic" w:hAnsi="Malgun Gothic" w:eastAsia="Malgun Gothic"/>
                <w:b w:val="0"/>
                <w:color w:val="222222"/>
                <w:sz w:val="16"/>
              </w:rPr>
              <w:t>순이익률</w:t>
            </w:r>
          </w:p>
        </w:tc>
        <w:tc>
          <w:tcPr>
            <w:tcW w:type="dxa" w:w="1984"/>
            <w:tcMar>
              <w:top w:w="48" w:type="dxa"/>
              <w:start w:w="65" w:type="dxa"/>
              <w:bottom w:w="48" w:type="dxa"/>
              <w:end w:w="65" w:type="dxa"/>
            </w:tcMar>
            <w:vAlign w:val="center"/>
            <w:shd w:fill="F6F8FB"/>
          </w:tcPr>
          <w:p>
            <w:pPr>
              <w:spacing w:after="0"/>
              <w:jc w:val="center"/>
            </w:pPr>
            <w:r>
              <w:rPr>
                <w:rFonts w:ascii="Malgun Gothic" w:hAnsi="Malgun Gothic" w:eastAsia="Malgun Gothic"/>
                <w:b w:val="0"/>
                <w:color w:val="222222"/>
                <w:sz w:val="16"/>
              </w:rPr>
              <w:t>5.98%</w:t>
            </w:r>
          </w:p>
        </w:tc>
        <w:tc>
          <w:tcPr>
            <w:tcW w:type="dxa" w:w="1984"/>
            <w:tcMar>
              <w:top w:w="48" w:type="dxa"/>
              <w:start w:w="65" w:type="dxa"/>
              <w:bottom w:w="48" w:type="dxa"/>
              <w:end w:w="65" w:type="dxa"/>
            </w:tcMar>
            <w:vAlign w:val="center"/>
            <w:shd w:fill="F6F8FB"/>
          </w:tcPr>
          <w:p>
            <w:pPr>
              <w:spacing w:after="0"/>
              <w:jc w:val="center"/>
            </w:pPr>
            <w:r>
              <w:rPr>
                <w:rFonts w:ascii="Malgun Gothic" w:hAnsi="Malgun Gothic" w:eastAsia="Malgun Gothic"/>
                <w:b w:val="0"/>
                <w:color w:val="222222"/>
                <w:sz w:val="16"/>
              </w:rPr>
              <w:t>11.45%</w:t>
            </w:r>
          </w:p>
        </w:tc>
        <w:tc>
          <w:tcPr>
            <w:tcW w:type="dxa" w:w="1814"/>
            <w:tcMar>
              <w:top w:w="48" w:type="dxa"/>
              <w:start w:w="65" w:type="dxa"/>
              <w:bottom w:w="48" w:type="dxa"/>
              <w:end w:w="65" w:type="dxa"/>
            </w:tcMar>
            <w:vAlign w:val="center"/>
            <w:shd w:fill="F6F8FB"/>
          </w:tcPr>
          <w:p>
            <w:pPr>
              <w:spacing w:after="0"/>
              <w:jc w:val="center"/>
            </w:pPr>
            <w:r>
              <w:rPr>
                <w:rFonts w:ascii="Malgun Gothic" w:hAnsi="Malgun Gothic" w:eastAsia="Malgun Gothic"/>
                <w:b w:val="0"/>
                <w:color w:val="222222"/>
                <w:sz w:val="16"/>
              </w:rPr>
              <w:t>+5.47%p</w:t>
            </w:r>
          </w:p>
        </w:tc>
      </w:tr>
      <w:tr>
        <w:tc>
          <w:tcPr>
            <w:tcW w:type="dxa" w:w="2891"/>
            <w:tcMar>
              <w:top w:w="48" w:type="dxa"/>
              <w:start w:w="65" w:type="dxa"/>
              <w:bottom w:w="48" w:type="dxa"/>
              <w:end w:w="65" w:type="dxa"/>
            </w:tcMar>
            <w:vAlign w:val="center"/>
            <w:shd w:fill="F6F8FB"/>
          </w:tcPr>
          <w:p>
            <w:pPr>
              <w:spacing w:after="0"/>
              <w:jc w:val="left"/>
            </w:pPr>
            <w:r>
              <w:rPr>
                <w:rFonts w:ascii="Malgun Gothic" w:hAnsi="Malgun Gothic" w:eastAsia="Malgun Gothic"/>
                <w:b w:val="0"/>
                <w:color w:val="222222"/>
                <w:sz w:val="16"/>
              </w:rPr>
              <w:t>총자산회전율</w:t>
            </w:r>
          </w:p>
        </w:tc>
        <w:tc>
          <w:tcPr>
            <w:tcW w:type="dxa" w:w="1984"/>
            <w:tcMar>
              <w:top w:w="48" w:type="dxa"/>
              <w:start w:w="65" w:type="dxa"/>
              <w:bottom w:w="48" w:type="dxa"/>
              <w:end w:w="65" w:type="dxa"/>
            </w:tcMar>
            <w:vAlign w:val="center"/>
            <w:shd w:fill="F6F8FB"/>
          </w:tcPr>
          <w:p>
            <w:pPr>
              <w:spacing w:after="0"/>
              <w:jc w:val="center"/>
            </w:pPr>
            <w:r>
              <w:rPr>
                <w:rFonts w:ascii="Malgun Gothic" w:hAnsi="Malgun Gothic" w:eastAsia="Malgun Gothic"/>
                <w:b w:val="0"/>
                <w:color w:val="222222"/>
                <w:sz w:val="16"/>
              </w:rPr>
              <w:t>0.573회</w:t>
            </w:r>
          </w:p>
        </w:tc>
        <w:tc>
          <w:tcPr>
            <w:tcW w:type="dxa" w:w="1984"/>
            <w:tcMar>
              <w:top w:w="48" w:type="dxa"/>
              <w:start w:w="65" w:type="dxa"/>
              <w:bottom w:w="48" w:type="dxa"/>
              <w:end w:w="65" w:type="dxa"/>
            </w:tcMar>
            <w:vAlign w:val="center"/>
            <w:shd w:fill="F6F8FB"/>
          </w:tcPr>
          <w:p>
            <w:pPr>
              <w:spacing w:after="0"/>
              <w:jc w:val="center"/>
            </w:pPr>
            <w:r>
              <w:rPr>
                <w:rFonts w:ascii="Malgun Gothic" w:hAnsi="Malgun Gothic" w:eastAsia="Malgun Gothic"/>
                <w:b w:val="0"/>
                <w:color w:val="222222"/>
                <w:sz w:val="16"/>
              </w:rPr>
              <w:t>0.620회</w:t>
            </w:r>
          </w:p>
        </w:tc>
        <w:tc>
          <w:tcPr>
            <w:tcW w:type="dxa" w:w="1814"/>
            <w:tcMar>
              <w:top w:w="48" w:type="dxa"/>
              <w:start w:w="65" w:type="dxa"/>
              <w:bottom w:w="48" w:type="dxa"/>
              <w:end w:w="65" w:type="dxa"/>
            </w:tcMar>
            <w:vAlign w:val="center"/>
            <w:shd w:fill="F6F8FB"/>
          </w:tcPr>
          <w:p>
            <w:pPr>
              <w:spacing w:after="0"/>
              <w:jc w:val="center"/>
            </w:pPr>
            <w:r>
              <w:rPr>
                <w:rFonts w:ascii="Malgun Gothic" w:hAnsi="Malgun Gothic" w:eastAsia="Malgun Gothic"/>
                <w:b w:val="0"/>
                <w:color w:val="222222"/>
                <w:sz w:val="16"/>
              </w:rPr>
              <w:t>+0.047회</w:t>
            </w:r>
          </w:p>
        </w:tc>
      </w:tr>
      <w:tr>
        <w:tc>
          <w:tcPr>
            <w:tcW w:type="dxa" w:w="2891"/>
            <w:tcMar>
              <w:top w:w="48" w:type="dxa"/>
              <w:start w:w="65" w:type="dxa"/>
              <w:bottom w:w="48" w:type="dxa"/>
              <w:end w:w="65" w:type="dxa"/>
            </w:tcMar>
            <w:vAlign w:val="center"/>
            <w:shd w:fill="F6F8FB"/>
          </w:tcPr>
          <w:p>
            <w:pPr>
              <w:spacing w:after="0"/>
              <w:jc w:val="left"/>
            </w:pPr>
            <w:r>
              <w:rPr>
                <w:rFonts w:ascii="Malgun Gothic" w:hAnsi="Malgun Gothic" w:eastAsia="Malgun Gothic"/>
                <w:b w:val="0"/>
                <w:color w:val="222222"/>
                <w:sz w:val="16"/>
              </w:rPr>
              <w:t>자기자본승수</w:t>
            </w:r>
          </w:p>
        </w:tc>
        <w:tc>
          <w:tcPr>
            <w:tcW w:type="dxa" w:w="1984"/>
            <w:tcMar>
              <w:top w:w="48" w:type="dxa"/>
              <w:start w:w="65" w:type="dxa"/>
              <w:bottom w:w="48" w:type="dxa"/>
              <w:end w:w="65" w:type="dxa"/>
            </w:tcMar>
            <w:vAlign w:val="center"/>
            <w:shd w:fill="F6F8FB"/>
          </w:tcPr>
          <w:p>
            <w:pPr>
              <w:spacing w:after="0"/>
              <w:jc w:val="center"/>
            </w:pPr>
            <w:r>
              <w:rPr>
                <w:rFonts w:ascii="Malgun Gothic" w:hAnsi="Malgun Gothic" w:eastAsia="Malgun Gothic"/>
                <w:b w:val="0"/>
                <w:color w:val="222222"/>
                <w:sz w:val="16"/>
              </w:rPr>
              <w:t>1.259배</w:t>
            </w:r>
          </w:p>
        </w:tc>
        <w:tc>
          <w:tcPr>
            <w:tcW w:type="dxa" w:w="1984"/>
            <w:tcMar>
              <w:top w:w="48" w:type="dxa"/>
              <w:start w:w="65" w:type="dxa"/>
              <w:bottom w:w="48" w:type="dxa"/>
              <w:end w:w="65" w:type="dxa"/>
            </w:tcMar>
            <w:vAlign w:val="center"/>
            <w:shd w:fill="F6F8FB"/>
          </w:tcPr>
          <w:p>
            <w:pPr>
              <w:spacing w:after="0"/>
              <w:jc w:val="center"/>
            </w:pPr>
            <w:r>
              <w:rPr>
                <w:rFonts w:ascii="Malgun Gothic" w:hAnsi="Malgun Gothic" w:eastAsia="Malgun Gothic"/>
                <w:b w:val="0"/>
                <w:color w:val="222222"/>
                <w:sz w:val="16"/>
              </w:rPr>
              <w:t>1.267배</w:t>
            </w:r>
          </w:p>
        </w:tc>
        <w:tc>
          <w:tcPr>
            <w:tcW w:type="dxa" w:w="1814"/>
            <w:tcMar>
              <w:top w:w="48" w:type="dxa"/>
              <w:start w:w="65" w:type="dxa"/>
              <w:bottom w:w="48" w:type="dxa"/>
              <w:end w:w="65" w:type="dxa"/>
            </w:tcMar>
            <w:vAlign w:val="center"/>
            <w:shd w:fill="F6F8FB"/>
          </w:tcPr>
          <w:p>
            <w:pPr>
              <w:spacing w:after="0"/>
              <w:jc w:val="center"/>
            </w:pPr>
            <w:r>
              <w:rPr>
                <w:rFonts w:ascii="Malgun Gothic" w:hAnsi="Malgun Gothic" w:eastAsia="Malgun Gothic"/>
                <w:b w:val="0"/>
                <w:color w:val="222222"/>
                <w:sz w:val="16"/>
              </w:rPr>
              <w:t>+0.008배</w:t>
            </w:r>
          </w:p>
        </w:tc>
      </w:tr>
      <w:tr>
        <w:tc>
          <w:tcPr>
            <w:tcW w:type="dxa" w:w="2891"/>
            <w:tcMar>
              <w:top w:w="48" w:type="dxa"/>
              <w:start w:w="65" w:type="dxa"/>
              <w:bottom w:w="48" w:type="dxa"/>
              <w:end w:w="65" w:type="dxa"/>
            </w:tcMar>
            <w:vAlign w:val="center"/>
            <w:shd w:fill="F6F8FB"/>
          </w:tcPr>
          <w:p>
            <w:pPr>
              <w:spacing w:after="0"/>
              <w:jc w:val="left"/>
            </w:pPr>
            <w:r>
              <w:rPr>
                <w:rFonts w:ascii="Malgun Gothic" w:hAnsi="Malgun Gothic" w:eastAsia="Malgun Gothic"/>
                <w:b/>
                <w:color w:val="222222"/>
                <w:sz w:val="16"/>
              </w:rPr>
              <w:t>듀퐁 ROE</w:t>
            </w:r>
          </w:p>
        </w:tc>
        <w:tc>
          <w:tcPr>
            <w:tcW w:type="dxa" w:w="1984"/>
            <w:tcMar>
              <w:top w:w="48" w:type="dxa"/>
              <w:start w:w="65" w:type="dxa"/>
              <w:bottom w:w="48" w:type="dxa"/>
              <w:end w:w="65" w:type="dxa"/>
            </w:tcMar>
            <w:vAlign w:val="center"/>
            <w:shd w:fill="F6F8FB"/>
          </w:tcPr>
          <w:p>
            <w:pPr>
              <w:spacing w:after="0"/>
              <w:jc w:val="center"/>
            </w:pPr>
            <w:r>
              <w:rPr>
                <w:rFonts w:ascii="Malgun Gothic" w:hAnsi="Malgun Gothic" w:eastAsia="Malgun Gothic"/>
                <w:b/>
                <w:color w:val="222222"/>
                <w:sz w:val="16"/>
              </w:rPr>
              <w:t>4.31%</w:t>
            </w:r>
          </w:p>
        </w:tc>
        <w:tc>
          <w:tcPr>
            <w:tcW w:type="dxa" w:w="1984"/>
            <w:tcMar>
              <w:top w:w="48" w:type="dxa"/>
              <w:start w:w="65" w:type="dxa"/>
              <w:bottom w:w="48" w:type="dxa"/>
              <w:end w:w="65" w:type="dxa"/>
            </w:tcMar>
            <w:vAlign w:val="center"/>
            <w:shd w:fill="F6F8FB"/>
          </w:tcPr>
          <w:p>
            <w:pPr>
              <w:spacing w:after="0"/>
              <w:jc w:val="center"/>
            </w:pPr>
            <w:r>
              <w:rPr>
                <w:rFonts w:ascii="Malgun Gothic" w:hAnsi="Malgun Gothic" w:eastAsia="Malgun Gothic"/>
                <w:b/>
                <w:color w:val="222222"/>
                <w:sz w:val="16"/>
              </w:rPr>
              <w:t>9.00%</w:t>
            </w:r>
          </w:p>
        </w:tc>
        <w:tc>
          <w:tcPr>
            <w:tcW w:type="dxa" w:w="1814"/>
            <w:tcMar>
              <w:top w:w="48" w:type="dxa"/>
              <w:start w:w="65" w:type="dxa"/>
              <w:bottom w:w="48" w:type="dxa"/>
              <w:end w:w="65" w:type="dxa"/>
            </w:tcMar>
            <w:vAlign w:val="center"/>
            <w:shd w:fill="F6F8FB"/>
          </w:tcPr>
          <w:p>
            <w:pPr>
              <w:spacing w:after="0"/>
              <w:jc w:val="center"/>
            </w:pPr>
            <w:r>
              <w:rPr>
                <w:rFonts w:ascii="Malgun Gothic" w:hAnsi="Malgun Gothic" w:eastAsia="Malgun Gothic"/>
                <w:b/>
                <w:color w:val="222222"/>
                <w:sz w:val="16"/>
              </w:rPr>
              <w:t>+4.69%p</w:t>
            </w:r>
          </w:p>
        </w:tc>
      </w:tr>
    </w:tbl>
    <w:p>
      <w:pPr>
        <w:spacing w:before="60" w:after="140"/>
      </w:pPr>
      <w:r>
        <w:rPr>
          <w:rFonts w:ascii="Malgun Gothic" w:hAnsi="Malgun Gothic" w:eastAsia="Malgun Gothic"/>
          <w:color w:val="666666"/>
          <w:sz w:val="16"/>
        </w:rPr>
        <w:t>자료: Samsung Electronics Co., Ltd. and its subsidiaries, 2023·2024 Consolidated Financial Statements. 금액은 원자료(백만원)를 조 원 단위로 환산하고 비율은 반올림함.</w:t>
      </w:r>
    </w:p>
    <w:tbl>
      <w:tblPr>
        <w:tblW w:type="auto" w:w="0"/>
        <w:jc w:val="center"/>
        <w:tblLayout w:type="fixed"/>
        <w:tblLook w:firstColumn="1" w:firstRow="1" w:lastColumn="0" w:lastRow="0" w:noHBand="0" w:noVBand="1" w:val="04A0"/>
        <w:tblBorders>
          <w:top w:val="single" w:sz="8" w:color="B7C9E2"/>
          <w:left w:val="single" w:sz="8" w:color="B7C9E2"/>
          <w:bottom w:val="single" w:sz="8" w:color="B7C9E2"/>
          <w:right w:val="single" w:sz="8" w:color="B7C9E2"/>
          <w:insideH w:val="single" w:sz="8" w:color="B7C9E2"/>
          <w:insideV w:val="single" w:sz="8" w:color="B7C9E2"/>
        </w:tblBorders>
      </w:tblPr>
      <w:tblGrid>
        <w:gridCol w:w="9518"/>
      </w:tblGrid>
      <w:tr>
        <w:tc>
          <w:tcPr>
            <w:tcW w:type="dxa" w:w="8901"/>
            <w:shd w:fill="EAF2F8"/>
            <w:tcMar>
              <w:top w:w="90" w:type="dxa"/>
              <w:start w:w="140" w:type="dxa"/>
              <w:bottom w:w="90" w:type="dxa"/>
              <w:end w:w="140" w:type="dxa"/>
            </w:tcMar>
          </w:tcPr>
          <w:p>
            <w:pPr>
              <w:spacing w:after="0"/>
              <w:jc w:val="center"/>
            </w:pPr>
            <w:r>
              <w:rPr>
                <w:rFonts w:ascii="Malgun Gothic" w:hAnsi="Malgun Gothic" w:eastAsia="Malgun Gothic"/>
                <w:b/>
                <w:color w:val="17365D"/>
                <w:sz w:val="19"/>
              </w:rPr>
              <w:t>2024년 ROE ≈ 11.45% × 0.620 × 1.267 = 9.00%</w:t>
            </w:r>
          </w:p>
        </w:tc>
      </w:tr>
    </w:tbl>
    <w:p>
      <w:pPr>
        <w:spacing w:before="0" w:after="100" w:line="343" w:lineRule="auto"/>
        <w:ind w:firstLine="425"/>
        <w:jc w:val="both"/>
      </w:pPr>
      <w:r>
        <w:rPr>
          <w:rFonts w:ascii="Malgun Gothic" w:hAnsi="Malgun Gothic" w:eastAsia="Malgun Gothic"/>
          <w:color w:val="222222"/>
          <w:sz w:val="20"/>
        </w:rPr>
        <w:t>분석 결과 2024년 ROE는 약 9.00%로 2023년의 4.31%보다 크게 상승하였다. 가장 중요한 변화는 순이익률이다. 매출액은 약 16.2% 증가한 반면 당기순이익은 약 122.4% 증가하여 순이익률이 5.98%에서 11.45%로 거의 두 배 수준으로 높아졌다. 이는 2024년 ROE 개선의 중심 요인이 수익성 회복에 있었음을 의미한다. 삼성전자 연결손익계산서에서도 영업이익은 2023년 약 6.57조 원에서 2024년 약 32.73조 원으로 증가하여 본업 수익성의 개선이 두드러진다.</w:t>
      </w:r>
    </w:p>
    <w:p>
      <w:pPr>
        <w:spacing w:before="0" w:after="100" w:line="343" w:lineRule="auto"/>
        <w:ind w:firstLine="425"/>
        <w:jc w:val="both"/>
      </w:pPr>
      <w:r>
        <w:rPr>
          <w:rFonts w:ascii="Malgun Gothic" w:hAnsi="Malgun Gothic" w:eastAsia="Malgun Gothic"/>
          <w:color w:val="222222"/>
          <w:sz w:val="20"/>
        </w:rPr>
        <w:t>총자산회전율도 0.573회에서 0.620회로 높아졌다. 평균총자산이 증가했지만 매출 증가 속도가 더 빨랐기 때문에 자산 1원당 매출창출 능력이 개선된 것으로 해석할 수 있다. 반면 자기자본승수는 1.259배에서 1.267배로 소폭 상승하는 데 그쳤다. 즉, ROE 상승이 주로 레버리지 확대에서 발생한 것이 아니라 이익률과 자산 활용 효율의 개선에서 발생했다는 점에서 성과의 질을 상대적으로 긍정적으로 평가할 수 있다.</w:t>
      </w:r>
    </w:p>
    <w:p>
      <w:pPr>
        <w:spacing w:before="100" w:after="60"/>
      </w:pPr>
      <w:r>
        <w:rPr>
          <w:rFonts w:ascii="Malgun Gothic" w:hAnsi="Malgun Gothic" w:eastAsia="Malgun Gothic"/>
          <w:b/>
          <w:color w:val="2F5597"/>
          <w:sz w:val="21"/>
        </w:rPr>
        <w:t>5. 활용 시 유의점</w:t>
      </w:r>
    </w:p>
    <w:tbl>
      <w:tblPr>
        <w:tblW w:type="auto" w:w="0"/>
        <w:jc w:val="center"/>
        <w:tblLayout w:type="fixed"/>
        <w:tblLook w:firstColumn="1" w:firstRow="1" w:lastColumn="0" w:lastRow="0" w:noHBand="0" w:noVBand="1" w:val="04A0"/>
        <w:tblBorders>
          <w:top w:val="single" w:sz="6" w:color="D6DEE8"/>
          <w:left w:val="single" w:sz="6" w:color="D6DEE8"/>
          <w:bottom w:val="single" w:sz="6" w:color="D6DEE8"/>
          <w:right w:val="single" w:sz="6" w:color="D6DEE8"/>
          <w:insideH w:val="single" w:sz="6" w:color="D6DEE8"/>
          <w:insideV w:val="single" w:sz="6" w:color="D6DEE8"/>
        </w:tblBorders>
      </w:tblPr>
      <w:tblGrid>
        <w:gridCol w:w="9518"/>
      </w:tblGrid>
      <w:tr>
        <w:tc>
          <w:tcPr>
            <w:tcW w:type="dxa" w:w="9518"/>
            <w:shd w:fill="F7F9FC"/>
            <w:tcMar>
              <w:top w:w="55" w:type="dxa"/>
              <w:start w:w="85" w:type="dxa"/>
              <w:bottom w:w="55" w:type="dxa"/>
              <w:end w:w="85" w:type="dxa"/>
            </w:tcMar>
          </w:tcPr>
          <w:p>
            <w:pPr>
              <w:spacing w:after="0" w:line="252" w:lineRule="auto"/>
            </w:pPr>
            <w:r>
              <w:rPr>
                <w:rFonts w:ascii="Malgun Gothic" w:hAnsi="Malgun Gothic" w:eastAsia="Malgun Gothic"/>
                <w:color w:val="222222"/>
                <w:sz w:val="16"/>
              </w:rPr>
              <w:t>회계정책·일회성 손익의 영향을 확인하고, 산업별로 다른 자산회전율과 레버리지 수준을 고려해야 한다. 이종 산업 간 단순 비교는 피하며 현금흐름, 부채상환능력 등 다른 지표와 함께 해석하는 것이 바람직하다.</w:t>
            </w:r>
          </w:p>
        </w:tc>
      </w:tr>
    </w:tbl>
    <w:p>
      <w:r>
        <w:br w:type="page"/>
      </w:r>
    </w:p>
    <w:p>
      <w:pPr>
        <w:keepNext/>
        <w:spacing w:before="40" w:after="200"/>
        <w:pBdr>
          <w:bottom w:val="single" w:sz="12" w:space="5" w:color="2F5597"/>
        </w:pBdr>
      </w:pPr>
      <w:r>
        <w:rPr>
          <w:rFonts w:ascii="Malgun Gothic" w:hAnsi="Malgun Gothic" w:eastAsia="Malgun Gothic"/>
          <w:b/>
          <w:color w:val="17365D"/>
          <w:sz w:val="32"/>
        </w:rPr>
        <w:t>Ⅲ. 결론</w:t>
      </w:r>
    </w:p>
    <w:p>
      <w:pPr>
        <w:spacing w:before="0" w:after="100" w:line="343" w:lineRule="auto"/>
        <w:ind w:firstLine="425"/>
        <w:jc w:val="both"/>
      </w:pPr>
      <w:r>
        <w:rPr>
          <w:rFonts w:ascii="Malgun Gothic" w:hAnsi="Malgun Gothic" w:eastAsia="Malgun Gothic"/>
          <w:color w:val="222222"/>
          <w:sz w:val="20"/>
        </w:rPr>
        <w:t>듀퐁분석은 ROE를 순이익률, 총자산회전율, 자기자본승수로 분해함으로써 기업의 최종적인 자기자본 수익성이 어떠한 경영요인에서 형성되었는지를 보여주는 분석체계이다. ROE만 보면 높은 수익성이 경영효율의 결과인지 재무레버리지의 결과인지 구분하기 어렵지만, 듀퐁분석을 적용하면 수익성·효율성·자본구조라는 세 관점에서 성과를 진단할 수 있다. 필요할 경우 세금부담과 이자부담, 영업이익률까지 세분화한 5단계 모형을 적용하여 더욱 정교한 분석도 가능하다.</w:t>
      </w:r>
    </w:p>
    <w:p>
      <w:pPr>
        <w:spacing w:before="0" w:after="100" w:line="343" w:lineRule="auto"/>
        <w:ind w:firstLine="425"/>
        <w:jc w:val="both"/>
      </w:pPr>
      <w:r>
        <w:rPr>
          <w:rFonts w:ascii="Malgun Gothic" w:hAnsi="Malgun Gothic" w:eastAsia="Malgun Gothic"/>
          <w:color w:val="222222"/>
          <w:sz w:val="20"/>
        </w:rPr>
        <w:t>실제 삼성전자 사례에서는 2023년 약 4.31%였던 듀퐁 ROE가 2024년 약 9.00%로 상승하였다. 분석 결과 자기자본승수의 변화는 매우 작았던 반면 순이익률과 총자산회전율이 동시에 개선되었다. 특히 순이익률의 상승 폭이 가장 컸기 때문에 2024년 ROE 회복은 주로 이익창출 능력의 개선에 의해 설명된다고 볼 수 있다. 이는 듀퐁분석이 단순히 ROE의 크기를 비교하는 데서 그치지 않고, 성과변화의 질과 원인을 구체적으로 설명하는 데 효과적임을 보여준다.</w:t>
      </w:r>
    </w:p>
    <w:p>
      <w:pPr>
        <w:spacing w:before="0" w:after="100" w:line="343" w:lineRule="auto"/>
        <w:ind w:firstLine="425"/>
        <w:jc w:val="both"/>
      </w:pPr>
      <w:r>
        <w:rPr>
          <w:rFonts w:ascii="Malgun Gothic" w:hAnsi="Malgun Gothic" w:eastAsia="Malgun Gothic"/>
          <w:color w:val="222222"/>
          <w:sz w:val="20"/>
        </w:rPr>
        <w:t>경영관리 측면에서는 듀퐁분석 결과를 목표관리와 연결할 필요가 있다. 순이익률이 낮은 기업은 원가·판관비·가격정책을 점검하고, 자산회전율이 낮은 기업은 재고·매출채권·유휴자산의 효율화를 추진할 수 있다. 반대로 높은 ROE가 과도한 자기자본승수에 의해 만들어졌다면 추가적인 수익 확대보다 재무건전성과 상환능력 관리가 우선될 수 있다. 결국 듀퐁분석의 핵심 가치는 ‘ROE가 얼마인가’라는 질문을 ‘왜 그 ROE가 만들어졌으며 어떤 개선이 필요한가’라는 관리 가능한 질문으로 바꾸는 데 있다고 생각한다.</w:t>
      </w:r>
    </w:p>
    <w:p>
      <w:pPr>
        <w:keepNext/>
        <w:spacing w:before="40" w:after="200"/>
        <w:pBdr>
          <w:bottom w:val="single" w:sz="12" w:space="5" w:color="2F5597"/>
        </w:pBdr>
      </w:pPr>
      <w:r>
        <w:rPr>
          <w:rFonts w:ascii="Malgun Gothic" w:hAnsi="Malgun Gothic" w:eastAsia="Malgun Gothic"/>
          <w:b/>
          <w:color w:val="17365D"/>
          <w:sz w:val="32"/>
        </w:rPr>
        <w:t>참고문헌</w:t>
      </w:r>
    </w:p>
    <w:p>
      <w:pPr>
        <w:spacing w:after="100" w:line="269" w:lineRule="auto"/>
        <w:ind w:left="397" w:hanging="397"/>
      </w:pPr>
      <w:r>
        <w:rPr>
          <w:rFonts w:ascii="Malgun Gothic" w:hAnsi="Malgun Gothic" w:eastAsia="Malgun Gothic"/>
          <w:color w:val="222222"/>
          <w:sz w:val="18"/>
        </w:rPr>
        <w:t>CFA Institute. (2026). Financial Analysis Techniques. CFA Institute Professional Learning.</w:t>
      </w:r>
    </w:p>
    <w:p>
      <w:pPr>
        <w:spacing w:after="100" w:line="269" w:lineRule="auto"/>
        <w:ind w:left="397" w:hanging="397"/>
      </w:pPr>
      <w:r>
        <w:rPr>
          <w:rFonts w:ascii="Malgun Gothic" w:hAnsi="Malgun Gothic" w:eastAsia="Malgun Gothic"/>
          <w:color w:val="222222"/>
          <w:sz w:val="18"/>
        </w:rPr>
        <w:t>Fairfield, P. M., &amp; Yohn, T. L. (2001). Using asset turnover and profit margin to forecast changes in profitability. Review of Accounting Studies, 6, 371–385. https://doi.org/10.1023/A:1012430513430</w:t>
      </w:r>
    </w:p>
    <w:p>
      <w:pPr>
        <w:spacing w:after="100" w:line="269" w:lineRule="auto"/>
        <w:ind w:left="397" w:hanging="397"/>
      </w:pPr>
      <w:r>
        <w:rPr>
          <w:rFonts w:ascii="Malgun Gothic" w:hAnsi="Malgun Gothic" w:eastAsia="Malgun Gothic"/>
          <w:color w:val="222222"/>
          <w:sz w:val="18"/>
        </w:rPr>
        <w:t>Soliman, M. T. (2008). The use of DuPont analysis by market participants. The Accounting Review, 83(3), 823–853. https://doi.org/10.2308/accr.2008.83.3.823</w:t>
      </w:r>
    </w:p>
    <w:p>
      <w:pPr>
        <w:spacing w:after="100" w:line="269" w:lineRule="auto"/>
        <w:ind w:left="397" w:hanging="397"/>
      </w:pPr>
      <w:r>
        <w:rPr>
          <w:rFonts w:ascii="Malgun Gothic" w:hAnsi="Malgun Gothic" w:eastAsia="Malgun Gothic"/>
          <w:color w:val="222222"/>
          <w:sz w:val="18"/>
        </w:rPr>
        <w:t>Samsung Electronics Co., Ltd. and its subsidiaries. (2024). Consolidated Financial Statements for the year ended December 31, 2023.</w:t>
      </w:r>
    </w:p>
    <w:p>
      <w:pPr>
        <w:spacing w:after="100" w:line="269" w:lineRule="auto"/>
        <w:ind w:left="397" w:hanging="397"/>
      </w:pPr>
      <w:r>
        <w:rPr>
          <w:rFonts w:ascii="Malgun Gothic" w:hAnsi="Malgun Gothic" w:eastAsia="Malgun Gothic"/>
          <w:color w:val="222222"/>
          <w:sz w:val="18"/>
        </w:rPr>
        <w:t>Samsung Electronics Co., Ltd. and its subsidiaries. (2025). Consolidated Financial Statements for the year ended December 31, 2024.</w:t>
      </w:r>
    </w:p>
    <w:p>
      <w:r>
        <w:br w:type="page"/>
      </w:r>
    </w:p>
    <w:p>
      <w:pPr>
        <w:spacing w:before="400" w:after="360"/>
        <w:jc w:val="center"/>
      </w:pPr>
      <w:r>
        <w:rPr>
          <w:rFonts w:ascii="Malgun Gothic" w:hAnsi="Malgun Gothic" w:eastAsia="Malgun Gothic"/>
          <w:b/>
          <w:color w:val="17365D"/>
          <w:sz w:val="40"/>
        </w:rPr>
        <w:t>과제 참고자료 이용 안내</w:t>
      </w:r>
    </w:p>
    <w:tbl>
      <w:tblPr>
        <w:tblW w:type="auto" w:w="0"/>
        <w:jc w:val="center"/>
        <w:tblLayout w:type="fixed"/>
        <w:tblLook w:firstColumn="1" w:firstRow="1" w:lastColumn="0" w:lastRow="0" w:noHBand="0" w:noVBand="1" w:val="04A0"/>
        <w:tblBorders>
          <w:top w:val="single" w:sz="10" w:color="A61B1B"/>
          <w:left w:val="single" w:sz="10" w:color="A61B1B"/>
          <w:bottom w:val="single" w:sz="10" w:color="A61B1B"/>
          <w:right w:val="single" w:sz="10" w:color="A61B1B"/>
          <w:insideH w:val="single" w:sz="10" w:color="A61B1B"/>
          <w:insideV w:val="single" w:sz="10" w:color="A61B1B"/>
        </w:tblBorders>
      </w:tblPr>
      <w:tblGrid>
        <w:gridCol w:w="9518"/>
      </w:tblGrid>
      <w:tr>
        <w:tc>
          <w:tcPr>
            <w:tcW w:type="dxa" w:w="8901"/>
            <w:shd w:fill="FFF3F3"/>
            <w:tcMar>
              <w:top w:w="230" w:type="dxa"/>
              <w:start w:w="250" w:type="dxa"/>
              <w:bottom w:w="230" w:type="dxa"/>
              <w:end w:w="250" w:type="dxa"/>
            </w:tcMar>
          </w:tcPr>
          <w:p>
            <w:pPr>
              <w:spacing w:after="200"/>
            </w:pPr>
            <w:r>
              <w:rPr>
                <w:rFonts w:ascii="DejaVu Sans" w:hAnsi="DejaVu Sans" w:eastAsia="DejaVu Sans"/>
                <w:b/>
                <w:color w:val="A61B1B"/>
                <w:sz w:val="26"/>
              </w:rPr>
              <w:t>⚠ 주의사항</w:t>
            </w:r>
          </w:p>
          <w:p>
            <w:pPr>
              <w:spacing w:after="80"/>
              <w:jc w:val="left"/>
            </w:pPr>
            <w:r>
              <w:rPr>
                <w:rFonts w:ascii="Malgun Gothic" w:hAnsi="Malgun Gothic" w:eastAsia="Malgun Gothic"/>
                <w:b w:val="0"/>
                <w:color w:val="222222"/>
                <w:sz w:val="21"/>
              </w:rPr>
              <w:t>본 자료는 학점은행제 과제 참고용 샘플입니다.</w:t>
            </w:r>
          </w:p>
          <w:p>
            <w:pPr>
              <w:spacing w:after="80"/>
              <w:jc w:val="left"/>
            </w:pPr>
            <w:r>
              <w:rPr>
                <w:rFonts w:ascii="Malgun Gothic" w:hAnsi="Malgun Gothic" w:eastAsia="Malgun Gothic"/>
                <w:b w:val="0"/>
                <w:color w:val="222222"/>
                <w:sz w:val="21"/>
              </w:rPr>
              <w:t>위 학습 자료를 그대로 제출할 경우 모사율(표절률)로 인하여</w:t>
            </w:r>
          </w:p>
          <w:p>
            <w:pPr>
              <w:spacing w:after="80"/>
              <w:jc w:val="left"/>
            </w:pPr>
            <w:r>
              <w:rPr>
                <w:rFonts w:ascii="Malgun Gothic" w:hAnsi="Malgun Gothic" w:eastAsia="Malgun Gothic"/>
                <w:b w:val="0"/>
                <w:color w:val="222222"/>
                <w:sz w:val="21"/>
              </w:rPr>
              <w:t>성적 불이익 또는 해당 과목 0점 처리될 수 있습니다.</w:t>
            </w:r>
          </w:p>
          <w:p>
            <w:pPr>
              <w:spacing w:after="80"/>
              <w:jc w:val="left"/>
            </w:pPr>
            <w:r>
              <w:rPr>
                <w:rFonts w:ascii="Malgun Gothic" w:hAnsi="Malgun Gothic" w:eastAsia="Malgun Gothic"/>
                <w:b/>
                <w:color w:val="222222"/>
                <w:sz w:val="21"/>
              </w:rPr>
              <w:t>반드시 본인의 언어로 수정·재작성하여 제출하시기 바랍니다.</w:t>
            </w:r>
          </w:p>
        </w:tc>
      </w:tr>
    </w:tbl>
    <w:p>
      <w:pPr>
        <w:spacing w:after="80"/>
      </w:pPr>
    </w:p>
    <w:tbl>
      <w:tblPr>
        <w:tblW w:type="auto" w:w="0"/>
        <w:jc w:val="center"/>
        <w:tblLayout w:type="fixed"/>
        <w:tblLook w:firstColumn="1" w:firstRow="1" w:lastColumn="0" w:lastRow="0" w:noHBand="0" w:noVBand="1" w:val="04A0"/>
        <w:tblBorders>
          <w:top w:val="single" w:sz="10" w:color="B7C9E2"/>
          <w:left w:val="single" w:sz="10" w:color="B7C9E2"/>
          <w:bottom w:val="single" w:sz="10" w:color="B7C9E2"/>
          <w:right w:val="single" w:sz="10" w:color="B7C9E2"/>
          <w:insideH w:val="single" w:sz="10" w:color="B7C9E2"/>
          <w:insideV w:val="single" w:sz="10" w:color="B7C9E2"/>
        </w:tblBorders>
      </w:tblPr>
      <w:tblGrid>
        <w:gridCol w:w="9518"/>
      </w:tblGrid>
      <w:tr>
        <w:tc>
          <w:tcPr>
            <w:tcW w:type="dxa" w:w="8901"/>
            <w:shd w:fill="F2F7FC"/>
            <w:tcMar>
              <w:top w:w="230" w:type="dxa"/>
              <w:start w:w="250" w:type="dxa"/>
              <w:bottom w:w="230" w:type="dxa"/>
              <w:end w:w="250" w:type="dxa"/>
            </w:tcMar>
          </w:tcPr>
          <w:p>
            <w:pPr>
              <w:spacing w:after="200"/>
            </w:pPr>
            <w:r>
              <w:rPr>
                <w:rFonts w:ascii="DejaVu Sans" w:hAnsi="DejaVu Sans" w:eastAsia="DejaVu Sans"/>
                <w:b/>
                <w:color w:val="17365D"/>
                <w:sz w:val="26"/>
              </w:rPr>
              <w:t>📌 과제 수정이 어려우신가요?</w:t>
            </w:r>
          </w:p>
          <w:p>
            <w:pPr>
              <w:spacing w:after="80"/>
              <w:jc w:val="left"/>
            </w:pPr>
            <w:r>
              <w:rPr>
                <w:rFonts w:ascii="Malgun Gothic" w:hAnsi="Malgun Gothic" w:eastAsia="Malgun Gothic"/>
                <w:b w:val="0"/>
                <w:color w:val="222222"/>
                <w:sz w:val="21"/>
              </w:rPr>
              <w:t>국민원격교육관리센터에서 1:1 과제 수정 도움을 드립니다.</w:t>
            </w:r>
          </w:p>
          <w:p>
            <w:pPr>
              <w:spacing w:after="80"/>
              <w:jc w:val="left"/>
            </w:pPr>
            <w:r>
              <w:rPr>
                <w:rFonts w:ascii="Malgun Gothic" w:hAnsi="Malgun Gothic" w:eastAsia="Malgun Gothic"/>
                <w:b w:val="0"/>
                <w:color w:val="222222"/>
                <w:sz w:val="21"/>
              </w:rPr>
              <w:t>아래 연락처로 문의해 주세요.</w:t>
            </w:r>
          </w:p>
        </w:tc>
      </w:tr>
    </w:tbl>
    <w:p>
      <w:pPr>
        <w:spacing w:after="80"/>
      </w:pPr>
    </w:p>
    <w:tbl>
      <w:tblPr>
        <w:tblW w:type="auto" w:w="0"/>
        <w:jc w:val="center"/>
        <w:tblLayout w:type="fixed"/>
        <w:tblLook w:firstColumn="1" w:firstRow="1" w:lastColumn="0" w:lastRow="0" w:noHBand="0" w:noVBand="1" w:val="04A0"/>
        <w:tblBorders>
          <w:top w:val="single" w:sz="6" w:color="D5DCE5"/>
          <w:left w:val="single" w:sz="6" w:color="D5DCE5"/>
          <w:bottom w:val="single" w:sz="6" w:color="D5DCE5"/>
          <w:right w:val="single" w:sz="6" w:color="D5DCE5"/>
          <w:insideH w:val="single" w:sz="6" w:color="D5DCE5"/>
          <w:insideV w:val="single" w:sz="6" w:color="D5DCE5"/>
        </w:tblBorders>
      </w:tblPr>
      <w:tblGrid>
        <w:gridCol w:w="2381"/>
        <w:gridCol w:w="6520"/>
      </w:tblGrid>
      <w:tr>
        <w:tc>
          <w:tcPr>
            <w:tcW w:type="dxa" w:w="4759"/>
            <w:tcMar>
              <w:top w:w="120" w:type="dxa"/>
              <w:start w:w="130" w:type="dxa"/>
              <w:bottom w:w="120" w:type="dxa"/>
              <w:end w:w="130" w:type="dxa"/>
            </w:tcMar>
            <w:shd w:fill="F8FAFC"/>
          </w:tcPr>
          <w:p>
            <w:pPr>
              <w:jc w:val="left"/>
            </w:pPr>
            <w:r>
              <w:rPr>
                <w:rFonts w:ascii="DejaVu Sans" w:hAnsi="DejaVu Sans" w:eastAsia="DejaVu Sans"/>
                <w:b/>
                <w:color w:val="17365D"/>
                <w:sz w:val="21"/>
              </w:rPr>
              <w:t>📞 전화</w:t>
            </w:r>
          </w:p>
        </w:tc>
        <w:tc>
          <w:tcPr>
            <w:tcW w:type="dxa" w:w="4759"/>
            <w:tcMar>
              <w:top w:w="120" w:type="dxa"/>
              <w:start w:w="130" w:type="dxa"/>
              <w:bottom w:w="120" w:type="dxa"/>
              <w:end w:w="130" w:type="dxa"/>
            </w:tcMar>
            <w:shd w:fill="F8FAFC"/>
          </w:tcPr>
          <w:p>
            <w:pPr>
              <w:jc w:val="left"/>
            </w:pPr>
            <w:r>
              <w:rPr>
                <w:rFonts w:ascii="Malgun Gothic" w:hAnsi="Malgun Gothic" w:eastAsia="Malgun Gothic"/>
                <w:b/>
                <w:color w:val="222222"/>
                <w:sz w:val="21"/>
              </w:rPr>
              <w:t>050-7878-7044</w:t>
            </w:r>
          </w:p>
        </w:tc>
      </w:tr>
      <w:tr>
        <w:tc>
          <w:tcPr>
            <w:tcW w:type="dxa" w:w="4759"/>
            <w:tcMar>
              <w:top w:w="120" w:type="dxa"/>
              <w:start w:w="130" w:type="dxa"/>
              <w:bottom w:w="120" w:type="dxa"/>
              <w:end w:w="130" w:type="dxa"/>
            </w:tcMar>
          </w:tcPr>
          <w:p>
            <w:pPr>
              <w:jc w:val="left"/>
            </w:pPr>
            <w:r>
              <w:rPr>
                <w:rFonts w:ascii="DejaVu Sans" w:hAnsi="DejaVu Sans" w:eastAsia="DejaVu Sans"/>
                <w:b/>
                <w:color w:val="17365D"/>
                <w:sz w:val="21"/>
              </w:rPr>
              <w:t>💬 카카오톡</w:t>
            </w:r>
          </w:p>
        </w:tc>
        <w:tc>
          <w:tcPr>
            <w:tcW w:type="dxa" w:w="4759"/>
            <w:tcMar>
              <w:top w:w="120" w:type="dxa"/>
              <w:start w:w="130" w:type="dxa"/>
              <w:bottom w:w="120" w:type="dxa"/>
              <w:end w:w="130" w:type="dxa"/>
            </w:tcMar>
          </w:tcPr>
          <w:p>
            <w:pPr>
              <w:jc w:val="left"/>
            </w:pPr>
            <w:r>
              <w:rPr>
                <w:rFonts w:ascii="Malgun Gothic" w:hAnsi="Malgun Gothic" w:eastAsia="Malgun Gothic"/>
                <w:b/>
                <w:color w:val="222222"/>
                <w:sz w:val="21"/>
              </w:rPr>
              <w:t>@국민원격교육관리센터</w:t>
            </w:r>
          </w:p>
        </w:tc>
      </w:tr>
      <w:tr>
        <w:tc>
          <w:tcPr>
            <w:tcW w:type="dxa" w:w="4759"/>
            <w:tcMar>
              <w:top w:w="120" w:type="dxa"/>
              <w:start w:w="130" w:type="dxa"/>
              <w:bottom w:w="120" w:type="dxa"/>
              <w:end w:w="130" w:type="dxa"/>
            </w:tcMar>
            <w:shd w:fill="F8FAFC"/>
          </w:tcPr>
          <w:p>
            <w:pPr>
              <w:jc w:val="left"/>
            </w:pPr>
            <w:r>
              <w:rPr>
                <w:rFonts w:ascii="DejaVu Sans" w:hAnsi="DejaVu Sans" w:eastAsia="DejaVu Sans"/>
                <w:b/>
                <w:color w:val="17365D"/>
                <w:sz w:val="21"/>
              </w:rPr>
              <w:t>🕐 운영시간</w:t>
            </w:r>
          </w:p>
        </w:tc>
        <w:tc>
          <w:tcPr>
            <w:tcW w:type="dxa" w:w="4759"/>
            <w:tcMar>
              <w:top w:w="120" w:type="dxa"/>
              <w:start w:w="130" w:type="dxa"/>
              <w:bottom w:w="120" w:type="dxa"/>
              <w:end w:w="130" w:type="dxa"/>
            </w:tcMar>
            <w:shd w:fill="F8FAFC"/>
          </w:tcPr>
          <w:p>
            <w:pPr>
              <w:jc w:val="left"/>
            </w:pPr>
            <w:r>
              <w:rPr>
                <w:rFonts w:ascii="Malgun Gothic" w:hAnsi="Malgun Gothic" w:eastAsia="Malgun Gothic"/>
                <w:b/>
                <w:color w:val="222222"/>
                <w:sz w:val="21"/>
              </w:rPr>
              <w:t>평일 10:00–19:00</w:t>
            </w:r>
          </w:p>
        </w:tc>
      </w:tr>
      <w:tr>
        <w:tc>
          <w:tcPr>
            <w:tcW w:type="dxa" w:w="4759"/>
            <w:tcMar>
              <w:top w:w="120" w:type="dxa"/>
              <w:start w:w="130" w:type="dxa"/>
              <w:bottom w:w="120" w:type="dxa"/>
              <w:end w:w="130" w:type="dxa"/>
            </w:tcMar>
          </w:tcPr>
          <w:p>
            <w:pPr>
              <w:jc w:val="left"/>
            </w:pPr>
            <w:r>
              <w:rPr>
                <w:rFonts w:ascii="DejaVu Sans" w:hAnsi="DejaVu Sans" w:eastAsia="DejaVu Sans"/>
                <w:b/>
                <w:color w:val="17365D"/>
                <w:sz w:val="21"/>
              </w:rPr>
              <w:t>🌐 웹사이트</w:t>
            </w:r>
          </w:p>
        </w:tc>
        <w:tc>
          <w:tcPr>
            <w:tcW w:type="dxa" w:w="4759"/>
            <w:tcMar>
              <w:top w:w="120" w:type="dxa"/>
              <w:start w:w="130" w:type="dxa"/>
              <w:bottom w:w="120" w:type="dxa"/>
              <w:end w:w="130" w:type="dxa"/>
            </w:tcMar>
          </w:tcPr>
          <w:p>
            <w:pPr>
              <w:jc w:val="left"/>
            </w:pPr>
            <w:r>
              <w:rPr>
                <w:rFonts w:ascii="Malgun Gothic" w:hAnsi="Malgun Gothic" w:eastAsia="Malgun Gothic"/>
                <w:b/>
                <w:color w:val="222222"/>
                <w:sz w:val="21"/>
              </w:rPr>
              <w:t>korealms.co.kr</w:t>
            </w:r>
          </w:p>
        </w:tc>
      </w:tr>
    </w:tbl>
    <w:p>
      <w:pPr>
        <w:spacing w:before="440"/>
        <w:jc w:val="center"/>
      </w:pPr>
      <w:r>
        <w:rPr>
          <w:rFonts w:ascii="Malgun Gothic" w:hAnsi="Malgun Gothic" w:eastAsia="Malgun Gothic"/>
          <w:color w:val="666666"/>
          <w:sz w:val="18"/>
        </w:rPr>
        <w:t>본 문서는 제출용 완성본이 아닌 학습 및 작성 참고용 샘플입니다.</w:t>
      </w:r>
    </w:p>
    <w:sectPr w:rsidR="00FC693F" w:rsidRPr="0006063C" w:rsidSect="00034616">
      <w:footerReference w:type="default" r:id="rId9"/>
      <w:footerReference w:type="first" r:id="rId10"/>
      <w:pgSz w:w="12240" w:h="15840"/>
      <w:pgMar w:top="1304" w:right="1361" w:bottom="1247" w:left="1361" w:header="567" w:footer="567"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center"/>
    </w:pPr>
    <w:r>
      <w:rPr>
        <w:rFonts w:ascii="Malgun Gothic" w:hAnsi="Malgun Gothic" w:eastAsia="Malgun Gothic"/>
        <w:color w:val="777777"/>
        <w:sz w:val="18"/>
      </w:rPr>
      <w:fldChar w:fldCharType="begin"/>
      <w:instrText xml:space="preserve"> PAGE </w:instrText>
      <w:fldChar w:fldCharType="end"/>
    </w:r>
  </w:p>
</w:ftr>
</file>

<file path=word/footer2.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pPr>
    <w:r/>
  </w:p>
</w:ft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Malgun Gothic" w:hAnsi="Malgun Gothic" w:eastAsia="Malgun Gothic"/>
      <w:sz w:val="21"/>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footer" Target="footer1.xml"/><Relationship Id="rId10"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듀퐁분석의 의의와 활용법 및 실제 활용 예시</dc:title>
  <dc:subject>재무관리 학점은행제 과제 참고용 샘플</dc:subject>
  <dc:creator/>
  <cp:keywords>듀퐁분석, ROE, 재무관리, 재무비율분석</cp:keywords>
  <dc:description>generated by python-docx</dc:description>
  <cp:lastModifiedBy/>
  <cp:revision>1</cp:revision>
  <dcterms:created xsi:type="dcterms:W3CDTF">2013-12-23T23:15:00Z</dcterms:created>
  <dcterms:modified xsi:type="dcterms:W3CDTF">2013-12-23T23:15:00Z</dcterms:modified>
  <cp:category/>
</cp:coreProperties>
</file>