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00"/>
        <w:jc w:val="center"/>
      </w:pPr>
      <w:r>
        <w:rPr>
          <w:rFonts w:ascii="Malgun Gothic" w:hAnsi="Malgun Gothic" w:eastAsia="맑은 고딕"/>
          <w:b/>
          <w:color w:val="1F4E79"/>
          <w:sz w:val="40"/>
        </w:rPr>
        <w:t>재 무 관 리</w:t>
      </w:r>
    </w:p>
    <w:p>
      <w:pPr>
        <w:spacing w:before="900" w:after="360"/>
        <w:jc w:val="center"/>
      </w:pPr>
      <w:r>
        <w:rPr>
          <w:rFonts w:ascii="Malgun Gothic" w:hAnsi="Malgun Gothic" w:eastAsia="맑은 고딕"/>
          <w:b/>
          <w:color w:val="222222"/>
          <w:sz w:val="44"/>
        </w:rPr>
        <w:t>재무상태표와 손익계산서의 개념·활용 목적을 설명하고</w:t>
        <w:br/>
        <w:t>ROI 사례를 계산·분석</w:t>
      </w:r>
    </w:p>
    <w:p>
      <w:pPr>
        <w:spacing w:before="320"/>
        <w:jc w:val="center"/>
      </w:pPr>
      <w:r>
        <w:rPr>
          <w:rFonts w:ascii="Malgun Gothic" w:hAnsi="Malgun Gothic" w:eastAsia="맑은 고딕"/>
          <w:color w:val="5A5A5A"/>
          <w:sz w:val="23"/>
        </w:rPr>
        <w:t>학점은행제 과제 참고용 샘플</w:t>
      </w:r>
    </w:p>
    <w:p>
      <w:pPr>
        <w:spacing w:before="840"/>
        <w:jc w:val="center"/>
      </w:pPr>
      <w:r>
        <w:rPr>
          <w:rFonts w:ascii="Malgun Gothic" w:hAnsi="Malgun Gothic" w:eastAsia="맑은 고딕"/>
          <w:color w:val="505050"/>
          <w:sz w:val="21"/>
        </w:rPr>
        <w:t>제출일: ____________________      제출자: ____________________</w:t>
      </w:r>
    </w:p>
    <w:p>
      <w:pPr>
        <w:spacing w:before="1100"/>
      </w:pPr>
      <w:r>
        <w:rPr>
          <w:rFonts w:ascii="Malgun Gothic" w:hAnsi="Malgun Gothic" w:eastAsia="맑은 고딕"/>
          <w:b/>
          <w:color w:val="1F4E79"/>
          <w:sz w:val="28"/>
        </w:rPr>
        <w:t>목  차</w:t>
      </w:r>
    </w:p>
    <w:p>
      <w:pPr>
        <w:spacing w:after="40"/>
        <w:ind w:left="360"/>
      </w:pPr>
      <w:r>
        <w:rPr>
          <w:rFonts w:ascii="Malgun Gothic" w:hAnsi="Malgun Gothic" w:eastAsia="맑은 고딕"/>
          <w:sz w:val="21"/>
        </w:rPr>
        <w:t>Ⅰ. 서론</w:t>
      </w:r>
    </w:p>
    <w:p>
      <w:pPr>
        <w:spacing w:after="40"/>
        <w:ind w:left="360"/>
      </w:pPr>
      <w:r>
        <w:rPr>
          <w:rFonts w:ascii="Malgun Gothic" w:hAnsi="Malgun Gothic" w:eastAsia="맑은 고딕"/>
          <w:sz w:val="21"/>
        </w:rPr>
        <w:t>Ⅱ. 본론</w:t>
      </w:r>
    </w:p>
    <w:p>
      <w:pPr>
        <w:spacing w:after="40"/>
        <w:ind w:left="360"/>
      </w:pPr>
      <w:r>
        <w:rPr>
          <w:rFonts w:ascii="Malgun Gothic" w:hAnsi="Malgun Gothic" w:eastAsia="맑은 고딕"/>
          <w:sz w:val="21"/>
        </w:rPr>
        <w:t xml:space="preserve">   1. 재무상태표의 개념과 활용 목적</w:t>
      </w:r>
    </w:p>
    <w:p>
      <w:pPr>
        <w:spacing w:after="40"/>
        <w:ind w:left="360"/>
      </w:pPr>
      <w:r>
        <w:rPr>
          <w:rFonts w:ascii="Malgun Gothic" w:hAnsi="Malgun Gothic" w:eastAsia="맑은 고딕"/>
          <w:sz w:val="21"/>
        </w:rPr>
        <w:t xml:space="preserve">   2. 손익계산서의 개념과 활용 목적</w:t>
      </w:r>
    </w:p>
    <w:p>
      <w:pPr>
        <w:spacing w:after="40"/>
        <w:ind w:left="360"/>
      </w:pPr>
      <w:r>
        <w:rPr>
          <w:rFonts w:ascii="Malgun Gothic" w:hAnsi="Malgun Gothic" w:eastAsia="맑은 고딕"/>
          <w:sz w:val="21"/>
        </w:rPr>
        <w:t xml:space="preserve">   3. 두 재무제표의 연계와 재무분석</w:t>
      </w:r>
    </w:p>
    <w:p>
      <w:pPr>
        <w:spacing w:after="40"/>
        <w:ind w:left="360"/>
      </w:pPr>
      <w:r>
        <w:rPr>
          <w:rFonts w:ascii="Malgun Gothic" w:hAnsi="Malgun Gothic" w:eastAsia="맑은 고딕"/>
          <w:sz w:val="21"/>
        </w:rPr>
        <w:t xml:space="preserve">   4. ROI의 개념과 계산 방법</w:t>
      </w:r>
    </w:p>
    <w:p>
      <w:pPr>
        <w:spacing w:after="40"/>
        <w:ind w:left="360"/>
      </w:pPr>
      <w:r>
        <w:rPr>
          <w:rFonts w:ascii="Malgun Gothic" w:hAnsi="Malgun Gothic" w:eastAsia="맑은 고딕"/>
          <w:sz w:val="21"/>
        </w:rPr>
        <w:t xml:space="preserve">   5. ROI 사례 계산 및 분석</w:t>
      </w:r>
    </w:p>
    <w:p>
      <w:pPr>
        <w:spacing w:after="40"/>
        <w:ind w:left="360"/>
      </w:pPr>
      <w:r>
        <w:rPr>
          <w:rFonts w:ascii="Malgun Gothic" w:hAnsi="Malgun Gothic" w:eastAsia="맑은 고딕"/>
          <w:sz w:val="21"/>
        </w:rPr>
        <w:t>Ⅲ. 결론</w:t>
      </w:r>
    </w:p>
    <w:p>
      <w:pPr>
        <w:spacing w:after="40"/>
        <w:ind w:left="360"/>
      </w:pPr>
      <w:r>
        <w:rPr>
          <w:rFonts w:ascii="Malgun Gothic" w:hAnsi="Malgun Gothic" w:eastAsia="맑은 고딕"/>
          <w:sz w:val="21"/>
        </w:rPr>
        <w:t>Ⅳ. 참고문헌</w:t>
      </w:r>
    </w:p>
    <w:p>
      <w:r>
        <w:br w:type="page"/>
      </w:r>
    </w:p>
    <w:p>
      <w:pPr>
        <w:spacing w:before="200" w:after="100"/>
      </w:pPr>
      <w:r>
        <w:rPr>
          <w:rFonts w:ascii="Malgun Gothic" w:hAnsi="Malgun Gothic" w:eastAsia="맑은 고딕"/>
          <w:b/>
          <w:color w:val="1F4E79"/>
          <w:sz w:val="30"/>
        </w:rPr>
        <w:t>Ⅰ. 서론</w:t>
      </w:r>
    </w:p>
    <w:p>
      <w:pPr>
        <w:spacing w:line="372" w:lineRule="auto" w:after="120" w:before="0"/>
        <w:ind w:firstLine="400"/>
        <w:jc w:val="both"/>
      </w:pPr>
      <w:r>
        <w:rPr>
          <w:rFonts w:ascii="Malgun Gothic" w:hAnsi="Malgun Gothic" w:eastAsia="맑은 고딕"/>
          <w:sz w:val="21"/>
        </w:rPr>
        <w:t>기업의 경영성과를 정확하게 파악하기 위해서는 단순히 매출이나 현금 잔액만 확인해서는 충분하지 않다. 일정 시점에서 기업이 어떤 자산을 보유하고 있으며 그 자산을 어떠한 자금으로 조달했는지, 그리고 일정 기간 동안 영업활동을 통해 얼마의 수익과 비용이 발생하여 최종적으로 어느 정도의 이익을 창출했는지를 함께 살펴보아야 한다. 이러한 정보를 체계적으로 제공하는 대표적인 재무제표가 재무상태표와 손익계산서이다. 재무상태표는 특정 시점의 재무구조를 나타내는 보고서이고, 손익계산서는 일정 기간의 경영성과를 나타내는 보고서라는 점에서 서로 다른 정보를 제공하지만 실제 기업분석에서는 두 보고서를 함께 해석할 때 의미가 커진다.</w:t>
      </w:r>
    </w:p>
    <w:p>
      <w:pPr>
        <w:spacing w:line="372" w:lineRule="auto" w:after="120" w:before="0"/>
        <w:ind w:firstLine="400"/>
        <w:jc w:val="both"/>
      </w:pPr>
      <w:r>
        <w:rPr>
          <w:rFonts w:ascii="Malgun Gothic" w:hAnsi="Malgun Gothic" w:eastAsia="맑은 고딕"/>
          <w:sz w:val="21"/>
        </w:rPr>
        <w:t>투자 의사결정에서도 이와 같은 재무정보의 연계가 중요하다. 새로운 설비를 도입하거나 광고비를 집행하고, 신규 사업에 자본을 투입하는 경우 경영자는 투자액에 비해 얼마의 성과가 발생했는지를 판단해야 한다. 이때 널리 활용되는 지표가 투자수익률(Return on Investment, ROI)이다. ROI는 투입된 자원 대비 발생한 이익의 비율을 보여 주기 때문에 서로 규모가 다른 투자안을 비교하거나 투자 후 성과를 평가하는 데 유용하다. 다만 ROI만으로 모든 투자의 경제성을 판단하기는 어렵기 때문에, 계산에 사용된 이익과 투자금액의 범위를 명확히 하고 재무상태표 및 손익계산서의 관련 항목을 함께 검토할 필요가 있다.</w:t>
      </w:r>
    </w:p>
    <w:p>
      <w:pPr>
        <w:spacing w:line="372" w:lineRule="auto" w:after="120" w:before="0"/>
        <w:ind w:firstLine="400"/>
        <w:jc w:val="both"/>
      </w:pPr>
      <w:r>
        <w:rPr>
          <w:rFonts w:ascii="Malgun Gothic" w:hAnsi="Malgun Gothic" w:eastAsia="맑은 고딕"/>
          <w:sz w:val="21"/>
        </w:rPr>
        <w:t>본 과제에서는 먼저 재무상태표와 손익계산서의 개념과 구성요소, 활용 목적을 정리하고 두 재무제표가 기업분석에서 어떻게 연결되는지를 설명하고자 한다. 이어서 ROI의 기본 개념과 계산 방법을 살펴본 뒤, 가상의 생산설비 투자 사례를 통해 실제 계산 과정을 제시하고 결과가 의미하는 바를 분석한다. 이를 통해 재무제표가 단순한 회계보고 자료에 그치지 않고 경영자의 의사결정과 투자성과 평가에 활용되는 핵심 정보임을 확인하는 데 목적이 있다.</w:t>
      </w:r>
    </w:p>
    <w:p>
      <w:pPr>
        <w:spacing w:before="200" w:after="100"/>
      </w:pPr>
      <w:r>
        <w:rPr>
          <w:rFonts w:ascii="Malgun Gothic" w:hAnsi="Malgun Gothic" w:eastAsia="맑은 고딕"/>
          <w:b/>
          <w:color w:val="1F4E79"/>
          <w:sz w:val="30"/>
        </w:rPr>
        <w:t>Ⅱ. 본론</w:t>
      </w:r>
    </w:p>
    <w:p>
      <w:pPr>
        <w:spacing w:before="120" w:after="100"/>
      </w:pPr>
      <w:r>
        <w:rPr>
          <w:rFonts w:ascii="Malgun Gothic" w:hAnsi="Malgun Gothic" w:eastAsia="맑은 고딕"/>
          <w:b/>
          <w:color w:val="2F5496"/>
          <w:sz w:val="25"/>
        </w:rPr>
        <w:t>1. 재무상태표의 개념과 활용 목적</w:t>
      </w:r>
    </w:p>
    <w:p>
      <w:pPr>
        <w:spacing w:line="372" w:lineRule="auto" w:after="120" w:before="0"/>
        <w:ind w:firstLine="400"/>
        <w:jc w:val="both"/>
      </w:pPr>
      <w:r>
        <w:rPr>
          <w:rFonts w:ascii="Malgun Gothic" w:hAnsi="Malgun Gothic" w:eastAsia="맑은 고딕"/>
          <w:sz w:val="21"/>
        </w:rPr>
        <w:t>재무상태표(statement of financial position)는 일정 시점 현재 기업의 자산, 부채 및 자본의 상태를 보여 주는 기본 재무제표이다. 기업이 보유한 경제적 자원과 이를 조달한 원천을 하나의 표에서 나타내며, 기본적으로 “자산 = 부채 + 자본”이라는 회계등식에 기초한다. 자산은 기업이 과거의 거래나 사건의 결과로 통제하고 있으며 향후 경제적 효익을 창출할 것으로 기대되는 자원이다. 현금, 매출채권, 재고자산, 토지, 건물, 기계장치 등이 대표적인 예이다. 부채는 기업이 부담하고 있는 현재의 의무를 의미하며 매입채무, 차입금, 미지급금 등이 포함된다. 자본은 자산에서 부채를 차감한 잔여지분으로서 자본금, 자본잉여금, 이익잉여금 등이 주요 항목이다.</w:t>
      </w:r>
    </w:p>
    <w:p>
      <w:pPr>
        <w:spacing w:line="372" w:lineRule="auto" w:after="120" w:before="0"/>
        <w:ind w:firstLine="400"/>
        <w:jc w:val="both"/>
      </w:pPr>
      <w:r>
        <w:rPr>
          <w:rFonts w:ascii="Malgun Gothic" w:hAnsi="Malgun Gothic" w:eastAsia="맑은 고딕"/>
          <w:sz w:val="21"/>
        </w:rPr>
        <w:t>재무상태표는 기업의 유동성, 안정성, 자본구조를 분석하는 데 활용된다. 예를 들어 단기채무 상환능력을 살펴보기 위해 유동자산과 유동부채를 비교할 수 있고, 장기적인 재무안정성을 평가하기 위해 부채비율이나 자기자본비율을 계산할 수 있다. 또한 재고자산이나 매출채권의 증가가 매출 증가에 비해 지나치게 빠르다면 자산 운용의 비효율이나 회수 위험을 의심할 수 있다. 금융기관은 대출 심사에서 부채와 담보자산의 규모를 확인하고, 투자자는 기업이 어느 정도의 자기자본을 기반으로 성장하고 있는지 살펴보며, 경영자는 자산 구성과 조달구조를 점검하여 재무위험을 관리한다.</w:t>
      </w:r>
    </w:p>
    <w:p>
      <w:pPr>
        <w:spacing w:before="120"/>
      </w:pPr>
      <w:r>
        <w:rPr>
          <w:rFonts w:ascii="Malgun Gothic" w:hAnsi="Malgun Gothic" w:eastAsia="맑은 고딕"/>
          <w:b/>
          <w:color w:val="1F4E79"/>
          <w:sz w:val="20"/>
        </w:rPr>
        <w:t>표 1. 재무상태표의 주요 구성요소와 분석 포인트</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AF7"/>
            <w:vAlign w:val="center"/>
          </w:tcPr>
          <w:p>
            <w:pPr>
              <w:jc w:val="center"/>
            </w:pPr>
            <w:r>
              <w:rPr>
                <w:rFonts w:ascii="Malgun Gothic" w:hAnsi="Malgun Gothic" w:eastAsia="맑은 고딕"/>
                <w:b/>
                <w:sz w:val="19"/>
              </w:rPr>
              <w:t>구분</w:t>
            </w:r>
          </w:p>
        </w:tc>
        <w:tc>
          <w:tcPr>
            <w:tcW w:type="dxa" w:w="3216"/>
            <w:shd w:fill="D9EAF7"/>
            <w:vAlign w:val="center"/>
          </w:tcPr>
          <w:p>
            <w:pPr>
              <w:jc w:val="center"/>
            </w:pPr>
            <w:r>
              <w:rPr>
                <w:rFonts w:ascii="Malgun Gothic" w:hAnsi="Malgun Gothic" w:eastAsia="맑은 고딕"/>
                <w:b/>
                <w:sz w:val="19"/>
              </w:rPr>
              <w:t>주요 내용</w:t>
            </w:r>
          </w:p>
        </w:tc>
        <w:tc>
          <w:tcPr>
            <w:tcW w:type="dxa" w:w="3216"/>
            <w:shd w:fill="D9EAF7"/>
            <w:vAlign w:val="center"/>
          </w:tcPr>
          <w:p>
            <w:pPr>
              <w:jc w:val="center"/>
            </w:pPr>
            <w:r>
              <w:rPr>
                <w:rFonts w:ascii="Malgun Gothic" w:hAnsi="Malgun Gothic" w:eastAsia="맑은 고딕"/>
                <w:b/>
                <w:sz w:val="19"/>
              </w:rPr>
              <w:t>활용 예시</w:t>
            </w:r>
          </w:p>
        </w:tc>
      </w:tr>
      <w:tr>
        <w:tc>
          <w:tcPr>
            <w:tcW w:type="dxa" w:w="3216"/>
            <w:tcMar>
              <w:top w:w="80" w:type="dxa"/>
              <w:start w:w="90" w:type="dxa"/>
              <w:bottom w:w="80" w:type="dxa"/>
              <w:end w:w="90" w:type="dxa"/>
            </w:tcMar>
          </w:tcPr>
          <w:p>
            <w:pPr>
              <w:jc w:val="center"/>
            </w:pPr>
            <w:r>
              <w:rPr>
                <w:rFonts w:ascii="Malgun Gothic" w:hAnsi="Malgun Gothic" w:eastAsia="맑은 고딕"/>
                <w:sz w:val="18"/>
              </w:rPr>
              <w:t>자산</w:t>
            </w:r>
          </w:p>
        </w:tc>
        <w:tc>
          <w:tcPr>
            <w:tcW w:type="dxa" w:w="3216"/>
            <w:tcMar>
              <w:top w:w="80" w:type="dxa"/>
              <w:start w:w="90" w:type="dxa"/>
              <w:bottom w:w="80" w:type="dxa"/>
              <w:end w:w="90" w:type="dxa"/>
            </w:tcMar>
          </w:tcPr>
          <w:p>
            <w:pPr>
              <w:jc w:val="left"/>
            </w:pPr>
            <w:r>
              <w:rPr>
                <w:rFonts w:ascii="Malgun Gothic" w:hAnsi="Malgun Gothic" w:eastAsia="맑은 고딕"/>
                <w:sz w:val="18"/>
              </w:rPr>
              <w:t>현금, 매출채권, 재고자산, 유형자산 등</w:t>
            </w:r>
          </w:p>
        </w:tc>
        <w:tc>
          <w:tcPr>
            <w:tcW w:type="dxa" w:w="3216"/>
            <w:tcMar>
              <w:top w:w="80" w:type="dxa"/>
              <w:start w:w="90" w:type="dxa"/>
              <w:bottom w:w="80" w:type="dxa"/>
              <w:end w:w="90" w:type="dxa"/>
            </w:tcMar>
          </w:tcPr>
          <w:p>
            <w:pPr>
              <w:jc w:val="left"/>
            </w:pPr>
            <w:r>
              <w:rPr>
                <w:rFonts w:ascii="Malgun Gothic" w:hAnsi="Malgun Gothic" w:eastAsia="맑은 고딕"/>
                <w:sz w:val="18"/>
              </w:rPr>
              <w:t>유동성·자산효율성·투자규모 확인</w:t>
            </w:r>
          </w:p>
        </w:tc>
      </w:tr>
      <w:tr>
        <w:tc>
          <w:tcPr>
            <w:tcW w:type="dxa" w:w="3216"/>
            <w:tcMar>
              <w:top w:w="80" w:type="dxa"/>
              <w:start w:w="90" w:type="dxa"/>
              <w:bottom w:w="80" w:type="dxa"/>
              <w:end w:w="90" w:type="dxa"/>
            </w:tcMar>
          </w:tcPr>
          <w:p>
            <w:pPr>
              <w:jc w:val="center"/>
            </w:pPr>
            <w:r>
              <w:rPr>
                <w:rFonts w:ascii="Malgun Gothic" w:hAnsi="Malgun Gothic" w:eastAsia="맑은 고딕"/>
                <w:sz w:val="18"/>
              </w:rPr>
              <w:t>부채</w:t>
            </w:r>
          </w:p>
        </w:tc>
        <w:tc>
          <w:tcPr>
            <w:tcW w:type="dxa" w:w="3216"/>
            <w:tcMar>
              <w:top w:w="80" w:type="dxa"/>
              <w:start w:w="90" w:type="dxa"/>
              <w:bottom w:w="80" w:type="dxa"/>
              <w:end w:w="90" w:type="dxa"/>
            </w:tcMar>
          </w:tcPr>
          <w:p>
            <w:pPr>
              <w:jc w:val="left"/>
            </w:pPr>
            <w:r>
              <w:rPr>
                <w:rFonts w:ascii="Malgun Gothic" w:hAnsi="Malgun Gothic" w:eastAsia="맑은 고딕"/>
                <w:sz w:val="18"/>
              </w:rPr>
              <w:t>매입채무, 단기·장기차입금, 충당부채 등</w:t>
            </w:r>
          </w:p>
        </w:tc>
        <w:tc>
          <w:tcPr>
            <w:tcW w:type="dxa" w:w="3216"/>
            <w:tcMar>
              <w:top w:w="80" w:type="dxa"/>
              <w:start w:w="90" w:type="dxa"/>
              <w:bottom w:w="80" w:type="dxa"/>
              <w:end w:w="90" w:type="dxa"/>
            </w:tcMar>
          </w:tcPr>
          <w:p>
            <w:pPr>
              <w:jc w:val="left"/>
            </w:pPr>
            <w:r>
              <w:rPr>
                <w:rFonts w:ascii="Malgun Gothic" w:hAnsi="Malgun Gothic" w:eastAsia="맑은 고딕"/>
                <w:sz w:val="18"/>
              </w:rPr>
              <w:t>상환부담·레버리지·재무위험 점검</w:t>
            </w:r>
          </w:p>
        </w:tc>
      </w:tr>
      <w:tr>
        <w:tc>
          <w:tcPr>
            <w:tcW w:type="dxa" w:w="3216"/>
            <w:tcMar>
              <w:top w:w="80" w:type="dxa"/>
              <w:start w:w="90" w:type="dxa"/>
              <w:bottom w:w="80" w:type="dxa"/>
              <w:end w:w="90" w:type="dxa"/>
            </w:tcMar>
          </w:tcPr>
          <w:p>
            <w:pPr>
              <w:jc w:val="center"/>
            </w:pPr>
            <w:r>
              <w:rPr>
                <w:rFonts w:ascii="Malgun Gothic" w:hAnsi="Malgun Gothic" w:eastAsia="맑은 고딕"/>
                <w:sz w:val="18"/>
              </w:rPr>
              <w:t>자본</w:t>
            </w:r>
          </w:p>
        </w:tc>
        <w:tc>
          <w:tcPr>
            <w:tcW w:type="dxa" w:w="3216"/>
            <w:tcMar>
              <w:top w:w="80" w:type="dxa"/>
              <w:start w:w="90" w:type="dxa"/>
              <w:bottom w:w="80" w:type="dxa"/>
              <w:end w:w="90" w:type="dxa"/>
            </w:tcMar>
          </w:tcPr>
          <w:p>
            <w:pPr>
              <w:jc w:val="left"/>
            </w:pPr>
            <w:r>
              <w:rPr>
                <w:rFonts w:ascii="Malgun Gothic" w:hAnsi="Malgun Gothic" w:eastAsia="맑은 고딕"/>
                <w:sz w:val="18"/>
              </w:rPr>
              <w:t>자본금, 자본잉여금, 이익잉여금 등</w:t>
            </w:r>
          </w:p>
        </w:tc>
        <w:tc>
          <w:tcPr>
            <w:tcW w:type="dxa" w:w="3216"/>
            <w:tcMar>
              <w:top w:w="80" w:type="dxa"/>
              <w:start w:w="90" w:type="dxa"/>
              <w:bottom w:w="80" w:type="dxa"/>
              <w:end w:w="90" w:type="dxa"/>
            </w:tcMar>
          </w:tcPr>
          <w:p>
            <w:pPr>
              <w:jc w:val="left"/>
            </w:pPr>
            <w:r>
              <w:rPr>
                <w:rFonts w:ascii="Malgun Gothic" w:hAnsi="Malgun Gothic" w:eastAsia="맑은 고딕"/>
                <w:sz w:val="18"/>
              </w:rPr>
              <w:t>자기자본 기반과 누적 성과 파악</w:t>
            </w:r>
          </w:p>
        </w:tc>
      </w:tr>
    </w:tbl>
    <w:p>
      <w:pPr>
        <w:spacing w:before="120" w:after="100"/>
      </w:pPr>
      <w:r>
        <w:rPr>
          <w:rFonts w:ascii="Malgun Gothic" w:hAnsi="Malgun Gothic" w:eastAsia="맑은 고딕"/>
          <w:b/>
          <w:color w:val="2F5496"/>
          <w:sz w:val="25"/>
        </w:rPr>
        <w:t>2. 손익계산서의 개념과 활용 목적</w:t>
      </w:r>
    </w:p>
    <w:p>
      <w:pPr>
        <w:spacing w:line="372" w:lineRule="auto" w:after="120" w:before="0"/>
        <w:ind w:firstLine="400"/>
        <w:jc w:val="both"/>
      </w:pPr>
      <w:r>
        <w:rPr>
          <w:rFonts w:ascii="Malgun Gothic" w:hAnsi="Malgun Gothic" w:eastAsia="맑은 고딕"/>
          <w:sz w:val="21"/>
        </w:rPr>
        <w:t>손익계산서(income statement)는 일정 회계기간 동안 기업이 벌어들인 수익과 그 수익을 창출하기 위해 발생한 비용을 대응시켜 경영성과를 보여 주는 재무제표이다. 재무상태표가 특정 시점의 “상태”를 나타낸다면 손익계산서는 일정 기간의 “흐름”을 나타낸다는 차이가 있다. 일반적으로 매출액에서 매출원가를 차감하여 매출총이익을 계산하고, 판매비와관리비를 차감하여 영업이익을 산출한다. 이후 금융수익과 금융비용, 기타 손익 등을 반영하여 법인세비용차감전순이익을 구하고 법인세비용을 차감하면 당기순이익이 계산된다.</w:t>
      </w:r>
    </w:p>
    <w:p>
      <w:pPr>
        <w:spacing w:line="372" w:lineRule="auto" w:after="120" w:before="0"/>
        <w:ind w:firstLine="400"/>
        <w:jc w:val="both"/>
      </w:pPr>
      <w:r>
        <w:rPr>
          <w:rFonts w:ascii="Malgun Gothic" w:hAnsi="Malgun Gothic" w:eastAsia="맑은 고딕"/>
          <w:sz w:val="21"/>
        </w:rPr>
        <w:t>손익계산서의 가장 중요한 활용 목적은 기업의 수익성과 경영성과를 평가하는 것이다. 매출액 자체가 증가했더라도 원가나 판매관리비가 더 빠르게 증가했다면 실제 수익성은 악화될 수 있다. 반대로 매출 증가율은 낮더라도 원가절감과 비용 효율화로 영업이익률이 개선되었다면 영업구조가 강화되었다고 볼 수 있다. 따라서 경영자는 매출총이익률, 영업이익률, 순이익률과 같은 수익성 지표를 이용해 사업부나 제품별 성과를 비교하고 비용 구조의 문제점을 찾는다. 투자자 역시 기업의 이익이 일시적인 자산처분이익에서 발생한 것인지, 본업의 영업활동에서 안정적으로 창출된 것인지 구분하여 평가할 필요가 있다.</w:t>
      </w:r>
    </w:p>
    <w:p>
      <w:r>
        <w:br w:type="page"/>
      </w:r>
    </w:p>
    <w:p>
      <w:pPr>
        <w:spacing w:before="120" w:after="100"/>
      </w:pPr>
      <w:r>
        <w:rPr>
          <w:rFonts w:ascii="Malgun Gothic" w:hAnsi="Malgun Gothic" w:eastAsia="맑은 고딕"/>
          <w:b/>
          <w:color w:val="2F5496"/>
          <w:sz w:val="25"/>
        </w:rPr>
        <w:t>3. 재무상태표와 손익계산서의 연계 및 활용</w:t>
      </w:r>
    </w:p>
    <w:p>
      <w:pPr>
        <w:spacing w:line="372" w:lineRule="auto" w:after="120" w:before="0"/>
        <w:ind w:firstLine="400"/>
        <w:jc w:val="both"/>
      </w:pPr>
      <w:r>
        <w:rPr>
          <w:rFonts w:ascii="Malgun Gothic" w:hAnsi="Malgun Gothic" w:eastAsia="맑은 고딕"/>
          <w:sz w:val="21"/>
        </w:rPr>
        <w:t>재무상태표와 손익계산서는 각각 독립된 보고서가 아니라 서로 밀접하게 연결되어 있다. 손익계산서에서 계산된 당기순이익은 배당이나 기타 자본변동을 고려한 뒤 재무상태표의 이익잉여금에 누적된다. 다시 말해 한 기간 동안의 경영성과가 다음 시점의 자본을 변화시키는 구조이다. 또한 재무상태표에 표시된 자산은 수익을 창출하기 위해 사용되며, 그 자산의 사용 결과가 손익계산서의 매출과 비용으로 나타난다. 예를 들어 기계장치를 취득하면 재무상태표의 유형자산이 증가하고, 이후 사용기간 동안 감가상각비가 손익계산서의 비용으로 인식된다.</w:t>
      </w:r>
    </w:p>
    <w:p>
      <w:pPr>
        <w:spacing w:line="372" w:lineRule="auto" w:after="120" w:before="0"/>
        <w:ind w:firstLine="400"/>
        <w:jc w:val="both"/>
      </w:pPr>
      <w:r>
        <w:rPr>
          <w:rFonts w:ascii="Malgun Gothic" w:hAnsi="Malgun Gothic" w:eastAsia="맑은 고딕"/>
          <w:sz w:val="21"/>
        </w:rPr>
        <w:t>두 재무제표를 결합하면 단순한 이익 규모를 넘어 “얼마의 자원을 투입하여 어느 정도의 성과를 창출했는가”를 분석할 수 있다. 총자산이익률(ROA)은 당기순이익을 평균총자산으로 나누어 자산 활용의 효율성을 파악하고, 자기자본이익률(ROE)은 당기순이익을 평균자기자본으로 나누어 주주가 제공한 자본의 수익성을 평가한다. ROI도 같은 관점에서 특정 투자대상에 투입된 자본과 그 결과로 발생한 이익을 연결하는 지표이다. 즉 재무상태표는 투자된 자원의 규모를 제공하고 손익계산서는 그 자원이 만들어 낸 성과를 제공한다는 점에서 ROI 분석의 기초 자료가 된다.</w:t>
      </w:r>
    </w:p>
    <w:p>
      <w:pPr>
        <w:spacing w:before="120"/>
      </w:pPr>
      <w:r>
        <w:rPr>
          <w:rFonts w:ascii="Malgun Gothic" w:hAnsi="Malgun Gothic" w:eastAsia="맑은 고딕"/>
          <w:b/>
          <w:color w:val="1F4E79"/>
          <w:sz w:val="20"/>
        </w:rPr>
        <w:t>표 2. 재무상태표와 손익계산서의 차이 및 상호보완성</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AF7"/>
          </w:tcPr>
          <w:p>
            <w:pPr>
              <w:jc w:val="center"/>
            </w:pPr>
            <w:r>
              <w:rPr>
                <w:rFonts w:ascii="Malgun Gothic" w:hAnsi="Malgun Gothic" w:eastAsia="맑은 고딕"/>
                <w:b/>
                <w:sz w:val="18"/>
              </w:rPr>
              <w:t>구분</w:t>
            </w:r>
          </w:p>
        </w:tc>
        <w:tc>
          <w:tcPr>
            <w:tcW w:type="dxa" w:w="2412"/>
            <w:shd w:fill="D9EAF7"/>
          </w:tcPr>
          <w:p>
            <w:pPr>
              <w:jc w:val="center"/>
            </w:pPr>
            <w:r>
              <w:rPr>
                <w:rFonts w:ascii="Malgun Gothic" w:hAnsi="Malgun Gothic" w:eastAsia="맑은 고딕"/>
                <w:b/>
                <w:sz w:val="18"/>
              </w:rPr>
              <w:t>재무상태표</w:t>
            </w:r>
          </w:p>
        </w:tc>
        <w:tc>
          <w:tcPr>
            <w:tcW w:type="dxa" w:w="2412"/>
            <w:shd w:fill="D9EAF7"/>
          </w:tcPr>
          <w:p>
            <w:pPr>
              <w:jc w:val="center"/>
            </w:pPr>
            <w:r>
              <w:rPr>
                <w:rFonts w:ascii="Malgun Gothic" w:hAnsi="Malgun Gothic" w:eastAsia="맑은 고딕"/>
                <w:b/>
                <w:sz w:val="18"/>
              </w:rPr>
              <w:t>손익계산서</w:t>
            </w:r>
          </w:p>
        </w:tc>
        <w:tc>
          <w:tcPr>
            <w:tcW w:type="dxa" w:w="2412"/>
            <w:shd w:fill="D9EAF7"/>
          </w:tcPr>
          <w:p>
            <w:pPr>
              <w:jc w:val="center"/>
            </w:pPr>
            <w:r>
              <w:rPr>
                <w:rFonts w:ascii="Malgun Gothic" w:hAnsi="Malgun Gothic" w:eastAsia="맑은 고딕"/>
                <w:b/>
                <w:sz w:val="18"/>
              </w:rPr>
              <w:t>분석상 의미</w:t>
            </w:r>
          </w:p>
        </w:tc>
      </w:tr>
      <w:tr>
        <w:tc>
          <w:tcPr>
            <w:tcW w:type="dxa" w:w="2412"/>
            <w:tcMar>
              <w:top w:w="70" w:type="dxa"/>
              <w:start w:w="75" w:type="dxa"/>
              <w:bottom w:w="70" w:type="dxa"/>
              <w:end w:w="75" w:type="dxa"/>
            </w:tcMar>
          </w:tcPr>
          <w:p>
            <w:pPr>
              <w:jc w:val="center"/>
            </w:pPr>
            <w:r>
              <w:rPr>
                <w:rFonts w:ascii="Malgun Gothic" w:hAnsi="Malgun Gothic" w:eastAsia="맑은 고딕"/>
                <w:sz w:val="17"/>
              </w:rPr>
              <w:t>기준</w:t>
            </w:r>
          </w:p>
        </w:tc>
        <w:tc>
          <w:tcPr>
            <w:tcW w:type="dxa" w:w="2412"/>
            <w:tcMar>
              <w:top w:w="70" w:type="dxa"/>
              <w:start w:w="75" w:type="dxa"/>
              <w:bottom w:w="70" w:type="dxa"/>
              <w:end w:w="75" w:type="dxa"/>
            </w:tcMar>
          </w:tcPr>
          <w:p>
            <w:pPr>
              <w:jc w:val="center"/>
            </w:pPr>
            <w:r>
              <w:rPr>
                <w:rFonts w:ascii="Malgun Gothic" w:hAnsi="Malgun Gothic" w:eastAsia="맑은 고딕"/>
                <w:sz w:val="17"/>
              </w:rPr>
              <w:t>특정 시점</w:t>
            </w:r>
          </w:p>
        </w:tc>
        <w:tc>
          <w:tcPr>
            <w:tcW w:type="dxa" w:w="2412"/>
            <w:tcMar>
              <w:top w:w="70" w:type="dxa"/>
              <w:start w:w="75" w:type="dxa"/>
              <w:bottom w:w="70" w:type="dxa"/>
              <w:end w:w="75" w:type="dxa"/>
            </w:tcMar>
          </w:tcPr>
          <w:p>
            <w:pPr>
              <w:jc w:val="center"/>
            </w:pPr>
            <w:r>
              <w:rPr>
                <w:rFonts w:ascii="Malgun Gothic" w:hAnsi="Malgun Gothic" w:eastAsia="맑은 고딕"/>
                <w:sz w:val="17"/>
              </w:rPr>
              <w:t>일정 기간</w:t>
            </w:r>
          </w:p>
        </w:tc>
        <w:tc>
          <w:tcPr>
            <w:tcW w:type="dxa" w:w="2412"/>
            <w:tcMar>
              <w:top w:w="70" w:type="dxa"/>
              <w:start w:w="75" w:type="dxa"/>
              <w:bottom w:w="70" w:type="dxa"/>
              <w:end w:w="75" w:type="dxa"/>
            </w:tcMar>
          </w:tcPr>
          <w:p>
            <w:pPr>
              <w:jc w:val="left"/>
            </w:pPr>
            <w:r>
              <w:rPr>
                <w:rFonts w:ascii="Malgun Gothic" w:hAnsi="Malgun Gothic" w:eastAsia="맑은 고딕"/>
                <w:sz w:val="17"/>
              </w:rPr>
              <w:t>상태와 흐름의 결합</w:t>
            </w:r>
          </w:p>
        </w:tc>
      </w:tr>
      <w:tr>
        <w:tc>
          <w:tcPr>
            <w:tcW w:type="dxa" w:w="2412"/>
            <w:tcMar>
              <w:top w:w="70" w:type="dxa"/>
              <w:start w:w="75" w:type="dxa"/>
              <w:bottom w:w="70" w:type="dxa"/>
              <w:end w:w="75" w:type="dxa"/>
            </w:tcMar>
          </w:tcPr>
          <w:p>
            <w:pPr>
              <w:jc w:val="center"/>
            </w:pPr>
            <w:r>
              <w:rPr>
                <w:rFonts w:ascii="Malgun Gothic" w:hAnsi="Malgun Gothic" w:eastAsia="맑은 고딕"/>
                <w:sz w:val="17"/>
              </w:rPr>
              <w:t>핵심 정보</w:t>
            </w:r>
          </w:p>
        </w:tc>
        <w:tc>
          <w:tcPr>
            <w:tcW w:type="dxa" w:w="2412"/>
            <w:tcMar>
              <w:top w:w="70" w:type="dxa"/>
              <w:start w:w="75" w:type="dxa"/>
              <w:bottom w:w="70" w:type="dxa"/>
              <w:end w:w="75" w:type="dxa"/>
            </w:tcMar>
          </w:tcPr>
          <w:p>
            <w:pPr>
              <w:jc w:val="center"/>
            </w:pPr>
            <w:r>
              <w:rPr>
                <w:rFonts w:ascii="Malgun Gothic" w:hAnsi="Malgun Gothic" w:eastAsia="맑은 고딕"/>
                <w:sz w:val="17"/>
              </w:rPr>
              <w:t>자산·부채·자본</w:t>
            </w:r>
          </w:p>
        </w:tc>
        <w:tc>
          <w:tcPr>
            <w:tcW w:type="dxa" w:w="2412"/>
            <w:tcMar>
              <w:top w:w="70" w:type="dxa"/>
              <w:start w:w="75" w:type="dxa"/>
              <w:bottom w:w="70" w:type="dxa"/>
              <w:end w:w="75" w:type="dxa"/>
            </w:tcMar>
          </w:tcPr>
          <w:p>
            <w:pPr>
              <w:jc w:val="center"/>
            </w:pPr>
            <w:r>
              <w:rPr>
                <w:rFonts w:ascii="Malgun Gothic" w:hAnsi="Malgun Gothic" w:eastAsia="맑은 고딕"/>
                <w:sz w:val="17"/>
              </w:rPr>
              <w:t>수익·비용·이익</w:t>
            </w:r>
          </w:p>
        </w:tc>
        <w:tc>
          <w:tcPr>
            <w:tcW w:type="dxa" w:w="2412"/>
            <w:tcMar>
              <w:top w:w="70" w:type="dxa"/>
              <w:start w:w="75" w:type="dxa"/>
              <w:bottom w:w="70" w:type="dxa"/>
              <w:end w:w="75" w:type="dxa"/>
            </w:tcMar>
          </w:tcPr>
          <w:p>
            <w:pPr>
              <w:jc w:val="left"/>
            </w:pPr>
            <w:r>
              <w:rPr>
                <w:rFonts w:ascii="Malgun Gothic" w:hAnsi="Malgun Gothic" w:eastAsia="맑은 고딕"/>
                <w:sz w:val="17"/>
              </w:rPr>
              <w:t>재무구조와 경영성과 동시 파악</w:t>
            </w:r>
          </w:p>
        </w:tc>
      </w:tr>
      <w:tr>
        <w:tc>
          <w:tcPr>
            <w:tcW w:type="dxa" w:w="2412"/>
            <w:tcMar>
              <w:top w:w="70" w:type="dxa"/>
              <w:start w:w="75" w:type="dxa"/>
              <w:bottom w:w="70" w:type="dxa"/>
              <w:end w:w="75" w:type="dxa"/>
            </w:tcMar>
          </w:tcPr>
          <w:p>
            <w:pPr>
              <w:jc w:val="center"/>
            </w:pPr>
            <w:r>
              <w:rPr>
                <w:rFonts w:ascii="Malgun Gothic" w:hAnsi="Malgun Gothic" w:eastAsia="맑은 고딕"/>
                <w:sz w:val="17"/>
              </w:rPr>
              <w:t>대표 분석</w:t>
            </w:r>
          </w:p>
        </w:tc>
        <w:tc>
          <w:tcPr>
            <w:tcW w:type="dxa" w:w="2412"/>
            <w:tcMar>
              <w:top w:w="70" w:type="dxa"/>
              <w:start w:w="75" w:type="dxa"/>
              <w:bottom w:w="70" w:type="dxa"/>
              <w:end w:w="75" w:type="dxa"/>
            </w:tcMar>
          </w:tcPr>
          <w:p>
            <w:pPr>
              <w:jc w:val="center"/>
            </w:pPr>
            <w:r>
              <w:rPr>
                <w:rFonts w:ascii="Malgun Gothic" w:hAnsi="Malgun Gothic" w:eastAsia="맑은 고딕"/>
                <w:sz w:val="17"/>
              </w:rPr>
              <w:t>유동성·안정성·자본구조</w:t>
            </w:r>
          </w:p>
        </w:tc>
        <w:tc>
          <w:tcPr>
            <w:tcW w:type="dxa" w:w="2412"/>
            <w:tcMar>
              <w:top w:w="70" w:type="dxa"/>
              <w:start w:w="75" w:type="dxa"/>
              <w:bottom w:w="70" w:type="dxa"/>
              <w:end w:w="75" w:type="dxa"/>
            </w:tcMar>
          </w:tcPr>
          <w:p>
            <w:pPr>
              <w:jc w:val="center"/>
            </w:pPr>
            <w:r>
              <w:rPr>
                <w:rFonts w:ascii="Malgun Gothic" w:hAnsi="Malgun Gothic" w:eastAsia="맑은 고딕"/>
                <w:sz w:val="17"/>
              </w:rPr>
              <w:t>수익성·비용구조·성장성</w:t>
            </w:r>
          </w:p>
        </w:tc>
        <w:tc>
          <w:tcPr>
            <w:tcW w:type="dxa" w:w="2412"/>
            <w:tcMar>
              <w:top w:w="70" w:type="dxa"/>
              <w:start w:w="75" w:type="dxa"/>
              <w:bottom w:w="70" w:type="dxa"/>
              <w:end w:w="75" w:type="dxa"/>
            </w:tcMar>
          </w:tcPr>
          <w:p>
            <w:pPr>
              <w:jc w:val="left"/>
            </w:pPr>
            <w:r>
              <w:rPr>
                <w:rFonts w:ascii="Malgun Gothic" w:hAnsi="Malgun Gothic" w:eastAsia="맑은 고딕"/>
                <w:sz w:val="17"/>
              </w:rPr>
              <w:t>투자효율 및 지속가능성 판단</w:t>
            </w:r>
          </w:p>
        </w:tc>
      </w:tr>
      <w:tr>
        <w:tc>
          <w:tcPr>
            <w:tcW w:type="dxa" w:w="2412"/>
            <w:tcMar>
              <w:top w:w="70" w:type="dxa"/>
              <w:start w:w="75" w:type="dxa"/>
              <w:bottom w:w="70" w:type="dxa"/>
              <w:end w:w="75" w:type="dxa"/>
            </w:tcMar>
          </w:tcPr>
          <w:p>
            <w:pPr>
              <w:jc w:val="center"/>
            </w:pPr>
            <w:r>
              <w:rPr>
                <w:rFonts w:ascii="Malgun Gothic" w:hAnsi="Malgun Gothic" w:eastAsia="맑은 고딕"/>
                <w:sz w:val="17"/>
              </w:rPr>
              <w:t>ROI 연결</w:t>
            </w:r>
          </w:p>
        </w:tc>
        <w:tc>
          <w:tcPr>
            <w:tcW w:type="dxa" w:w="2412"/>
            <w:tcMar>
              <w:top w:w="70" w:type="dxa"/>
              <w:start w:w="75" w:type="dxa"/>
              <w:bottom w:w="70" w:type="dxa"/>
              <w:end w:w="75" w:type="dxa"/>
            </w:tcMar>
          </w:tcPr>
          <w:p>
            <w:pPr>
              <w:jc w:val="center"/>
            </w:pPr>
            <w:r>
              <w:rPr>
                <w:rFonts w:ascii="Malgun Gothic" w:hAnsi="Malgun Gothic" w:eastAsia="맑은 고딕"/>
                <w:sz w:val="17"/>
              </w:rPr>
              <w:t>투자자산 또는 투입자본 규모</w:t>
            </w:r>
          </w:p>
        </w:tc>
        <w:tc>
          <w:tcPr>
            <w:tcW w:type="dxa" w:w="2412"/>
            <w:tcMar>
              <w:top w:w="70" w:type="dxa"/>
              <w:start w:w="75" w:type="dxa"/>
              <w:bottom w:w="70" w:type="dxa"/>
              <w:end w:w="75" w:type="dxa"/>
            </w:tcMar>
          </w:tcPr>
          <w:p>
            <w:pPr>
              <w:jc w:val="center"/>
            </w:pPr>
            <w:r>
              <w:rPr>
                <w:rFonts w:ascii="Malgun Gothic" w:hAnsi="Malgun Gothic" w:eastAsia="맑은 고딕"/>
                <w:sz w:val="17"/>
              </w:rPr>
              <w:t>투자로 발생한 이익</w:t>
            </w:r>
          </w:p>
        </w:tc>
        <w:tc>
          <w:tcPr>
            <w:tcW w:type="dxa" w:w="2412"/>
            <w:tcMar>
              <w:top w:w="70" w:type="dxa"/>
              <w:start w:w="75" w:type="dxa"/>
              <w:bottom w:w="70" w:type="dxa"/>
              <w:end w:w="75" w:type="dxa"/>
            </w:tcMar>
          </w:tcPr>
          <w:p>
            <w:pPr>
              <w:jc w:val="left"/>
            </w:pPr>
            <w:r>
              <w:rPr>
                <w:rFonts w:ascii="Malgun Gothic" w:hAnsi="Malgun Gothic" w:eastAsia="맑은 고딕"/>
                <w:sz w:val="17"/>
              </w:rPr>
              <w:t>투입 대비 성과 측정</w:t>
            </w:r>
          </w:p>
        </w:tc>
      </w:tr>
    </w:tbl>
    <w:p>
      <w:pPr>
        <w:spacing w:before="120" w:after="100"/>
      </w:pPr>
      <w:r>
        <w:rPr>
          <w:rFonts w:ascii="Malgun Gothic" w:hAnsi="Malgun Gothic" w:eastAsia="맑은 고딕"/>
          <w:b/>
          <w:color w:val="2F5496"/>
          <w:sz w:val="25"/>
        </w:rPr>
        <w:t>4. ROI의 개념과 계산 방법</w:t>
      </w:r>
    </w:p>
    <w:p>
      <w:pPr>
        <w:spacing w:line="372" w:lineRule="auto" w:after="120" w:before="0"/>
        <w:ind w:firstLine="400"/>
        <w:jc w:val="both"/>
      </w:pPr>
      <w:r>
        <w:rPr>
          <w:rFonts w:ascii="Malgun Gothic" w:hAnsi="Malgun Gothic" w:eastAsia="맑은 고딕"/>
          <w:sz w:val="21"/>
        </w:rPr>
        <w:t>ROI(Return on Investment)는 일정한 투자에 대해 얼마의 이익이 발생했는지를 비율로 나타낸 지표이다. 기본적인 계산식은 “투자로부터 얻은 이익 ÷ 투자금액 × 100”으로 표현할 수 있다. 예를 들어 1억 원을 투자하여 1년 동안 2천만 원의 순이익이 추가로 발생했다면 ROI는 20%가 된다. ROI가 높을수록 동일한 투자금액으로 더 많은 이익을 창출했다는 의미가 있으므로 여러 투자대안을 비교하거나 투자 후 성과를 평가할 때 직관적으로 활용할 수 있다.</w:t>
      </w:r>
    </w:p>
    <w:tbl>
      <w:tblPr>
        <w:tblW w:type="auto" w:w="0"/>
        <w:jc w:val="center"/>
        <w:tblLayout w:type="autofit"/>
        <w:tblLook w:firstColumn="1" w:firstRow="1" w:lastColumn="0" w:lastRow="0" w:noHBand="0" w:noVBand="1" w:val="04A0"/>
      </w:tblPr>
      <w:tblGrid>
        <w:gridCol w:w="9648"/>
      </w:tblGrid>
      <w:tr>
        <w:tc>
          <w:tcPr>
            <w:tcW w:type="dxa" w:w="9648"/>
            <w:shd w:fill="F2F6FA"/>
            <w:tcMar>
              <w:top w:w="120" w:type="dxa"/>
              <w:start w:w="160" w:type="dxa"/>
              <w:bottom w:w="120" w:type="dxa"/>
              <w:end w:w="160" w:type="dxa"/>
            </w:tcMar>
          </w:tcPr>
          <w:p>
            <w:pPr>
              <w:jc w:val="center"/>
            </w:pPr>
            <w:r>
              <w:rPr>
                <w:rFonts w:ascii="Malgun Gothic" w:hAnsi="Malgun Gothic" w:eastAsia="맑은 고딕"/>
                <w:b/>
                <w:color w:val="1F4E79"/>
                <w:sz w:val="21"/>
              </w:rPr>
              <w:t>ROI(%) = 투자로부터 얻은 순이익 ÷ 투자금액 × 100</w:t>
            </w:r>
          </w:p>
        </w:tc>
      </w:tr>
      <w:tr>
        <w:tc>
          <w:tcPr>
            <w:tcW w:type="dxa" w:w="9648"/>
            <w:shd w:fill="F2F6FA"/>
            <w:tcMar>
              <w:top w:w="120" w:type="dxa"/>
              <w:start w:w="160" w:type="dxa"/>
              <w:bottom w:w="120" w:type="dxa"/>
              <w:end w:w="160" w:type="dxa"/>
            </w:tcMar>
          </w:tcPr>
          <w:p>
            <w:pPr>
              <w:jc w:val="center"/>
            </w:pPr>
            <w:r>
              <w:rPr>
                <w:rFonts w:ascii="Malgun Gothic" w:hAnsi="Malgun Gothic" w:eastAsia="맑은 고딕"/>
                <w:b w:val="0"/>
                <w:sz w:val="21"/>
              </w:rPr>
              <w:t>예: 20,000,000원 ÷ 100,000,000원 × 100 = 20%</w:t>
            </w:r>
          </w:p>
        </w:tc>
      </w:tr>
    </w:tbl>
    <w:p>
      <w:pPr>
        <w:spacing w:line="372" w:lineRule="auto" w:after="120" w:before="0"/>
        <w:ind w:firstLine="400"/>
        <w:jc w:val="both"/>
      </w:pPr>
      <w:r>
        <w:rPr>
          <w:rFonts w:ascii="Malgun Gothic" w:hAnsi="Malgun Gothic" w:eastAsia="맑은 고딕"/>
          <w:sz w:val="21"/>
        </w:rPr>
        <w:t>다만 ROI 계산에서 가장 중요한 것은 분자와 분모의 범위를 일관되게 정의하는 것이다. 분자에는 투자로 인해 추가로 발생한 영업이익, 세후순이익, 혹은 현금흐름 중 무엇을 사용할 것인지 결정해야 하고, 분모 역시 최초 투자액, 평균투자액, 사용 중인 순장부가액 등 어떤 기준을 적용할지 명확해야 한다. 서로 다른 기준을 혼합하면 비교 결과가 왜곡될 수 있다. 또한 ROI는 투자기간과 현금흐름의 발생 시점을 충분히 반영하지 못한다. 1년 후 20% 수익이 발생하는 투자와 5년 후 20% 수익이 발생하는 투자를 같은 수준으로 볼 수 없기 때문에 장기 투자안에서는 순현재가치(NPV), 내부수익률(IRR) 등 시간가치를 반영한 지표를 함께 검토하는 것이 바람직하다.</w:t>
      </w:r>
    </w:p>
    <w:p>
      <w:pPr>
        <w:spacing w:before="120" w:after="100"/>
      </w:pPr>
      <w:r>
        <w:rPr>
          <w:rFonts w:ascii="Malgun Gothic" w:hAnsi="Malgun Gothic" w:eastAsia="맑은 고딕"/>
          <w:b/>
          <w:color w:val="2F5496"/>
          <w:sz w:val="25"/>
        </w:rPr>
        <w:t>5. ROI 사례 계산 및 분석</w:t>
      </w:r>
    </w:p>
    <w:p>
      <w:pPr>
        <w:spacing w:line="372" w:lineRule="auto" w:after="120" w:before="0"/>
        <w:ind w:firstLine="400"/>
        <w:jc w:val="both"/>
      </w:pPr>
      <w:r>
        <w:rPr>
          <w:rFonts w:ascii="Malgun Gothic" w:hAnsi="Malgun Gothic" w:eastAsia="맑은 고딕"/>
          <w:sz w:val="21"/>
        </w:rPr>
        <w:t>가상의 제조기업 A사는 생산 효율을 높이기 위해 자동화 설비 도입을 검토하고 있다고 가정한다. 신규 설비의 구입 및 설치에 총 100,000,000원이 필요하며, 설비 도입으로 연간 매출이 70,000,000원 증가할 것으로 예상된다. 추가 생산에 필요한 원재료비와 인건비 등 현금성 영업비용은 연간 42,000,000원이고, 감가상각비 등 기타 비용을 포함하면 투자로 인한 연간 추가 비용은 총 50,000,000원으로 예상된다. 따라서 해당 투자로 인해 증가하는 연간 이익은 20,000,000원이다.</w:t>
      </w:r>
    </w:p>
    <w:p>
      <w:pPr>
        <w:spacing w:before="120"/>
      </w:pPr>
      <w:r>
        <w:rPr>
          <w:rFonts w:ascii="Malgun Gothic" w:hAnsi="Malgun Gothic" w:eastAsia="맑은 고딕"/>
          <w:b/>
          <w:color w:val="1F4E79"/>
          <w:sz w:val="20"/>
        </w:rPr>
        <w:t>표 3. 자동화 설비 투자 사례의 예상 손익</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AF7"/>
          </w:tcPr>
          <w:p>
            <w:pPr>
              <w:jc w:val="center"/>
            </w:pPr>
            <w:r>
              <w:rPr>
                <w:rFonts w:ascii="Malgun Gothic" w:hAnsi="Malgun Gothic" w:eastAsia="맑은 고딕"/>
                <w:b/>
                <w:sz w:val="18"/>
              </w:rPr>
              <w:t>항목</w:t>
            </w:r>
          </w:p>
        </w:tc>
        <w:tc>
          <w:tcPr>
            <w:tcW w:type="dxa" w:w="3216"/>
            <w:shd w:fill="D9EAF7"/>
          </w:tcPr>
          <w:p>
            <w:pPr>
              <w:jc w:val="center"/>
            </w:pPr>
            <w:r>
              <w:rPr>
                <w:rFonts w:ascii="Malgun Gothic" w:hAnsi="Malgun Gothic" w:eastAsia="맑은 고딕"/>
                <w:b/>
                <w:sz w:val="18"/>
              </w:rPr>
              <w:t>금액</w:t>
            </w:r>
          </w:p>
        </w:tc>
        <w:tc>
          <w:tcPr>
            <w:tcW w:type="dxa" w:w="3216"/>
            <w:shd w:fill="D9EAF7"/>
          </w:tcPr>
          <w:p>
            <w:pPr>
              <w:jc w:val="center"/>
            </w:pPr>
            <w:r>
              <w:rPr>
                <w:rFonts w:ascii="Malgun Gothic" w:hAnsi="Malgun Gothic" w:eastAsia="맑은 고딕"/>
                <w:b/>
                <w:sz w:val="18"/>
              </w:rPr>
              <w:t>설명</w:t>
            </w:r>
          </w:p>
        </w:tc>
      </w:tr>
      <w:tr>
        <w:tc>
          <w:tcPr>
            <w:tcW w:type="dxa" w:w="3216"/>
            <w:tcMar>
              <w:top w:w="75" w:type="dxa"/>
              <w:start w:w="90" w:type="dxa"/>
              <w:bottom w:w="75" w:type="dxa"/>
              <w:end w:w="90" w:type="dxa"/>
            </w:tcMar>
          </w:tcPr>
          <w:p>
            <w:pPr>
              <w:jc w:val="center"/>
            </w:pPr>
            <w:r>
              <w:rPr>
                <w:rFonts w:ascii="Malgun Gothic" w:hAnsi="Malgun Gothic" w:eastAsia="맑은 고딕"/>
                <w:sz w:val="18"/>
              </w:rPr>
              <w:t>초기 투자금액</w:t>
            </w:r>
          </w:p>
        </w:tc>
        <w:tc>
          <w:tcPr>
            <w:tcW w:type="dxa" w:w="3216"/>
            <w:tcMar>
              <w:top w:w="75" w:type="dxa"/>
              <w:start w:w="90" w:type="dxa"/>
              <w:bottom w:w="75" w:type="dxa"/>
              <w:end w:w="90" w:type="dxa"/>
            </w:tcMar>
          </w:tcPr>
          <w:p>
            <w:pPr>
              <w:jc w:val="center"/>
            </w:pPr>
            <w:r>
              <w:rPr>
                <w:rFonts w:ascii="Malgun Gothic" w:hAnsi="Malgun Gothic" w:eastAsia="맑은 고딕"/>
                <w:sz w:val="18"/>
              </w:rPr>
              <w:t>100,000,000원</w:t>
            </w:r>
          </w:p>
        </w:tc>
        <w:tc>
          <w:tcPr>
            <w:tcW w:type="dxa" w:w="3216"/>
            <w:tcMar>
              <w:top w:w="75" w:type="dxa"/>
              <w:start w:w="90" w:type="dxa"/>
              <w:bottom w:w="75" w:type="dxa"/>
              <w:end w:w="90" w:type="dxa"/>
            </w:tcMar>
          </w:tcPr>
          <w:p>
            <w:pPr>
              <w:jc w:val="left"/>
            </w:pPr>
            <w:r>
              <w:rPr>
                <w:rFonts w:ascii="Malgun Gothic" w:hAnsi="Malgun Gothic" w:eastAsia="맑은 고딕"/>
                <w:sz w:val="18"/>
              </w:rPr>
              <w:t>설비 구입·설치비</w:t>
            </w:r>
          </w:p>
        </w:tc>
      </w:tr>
      <w:tr>
        <w:tc>
          <w:tcPr>
            <w:tcW w:type="dxa" w:w="3216"/>
            <w:tcMar>
              <w:top w:w="75" w:type="dxa"/>
              <w:start w:w="90" w:type="dxa"/>
              <w:bottom w:w="75" w:type="dxa"/>
              <w:end w:w="90" w:type="dxa"/>
            </w:tcMar>
          </w:tcPr>
          <w:p>
            <w:pPr>
              <w:jc w:val="center"/>
            </w:pPr>
            <w:r>
              <w:rPr>
                <w:rFonts w:ascii="Malgun Gothic" w:hAnsi="Malgun Gothic" w:eastAsia="맑은 고딕"/>
                <w:sz w:val="18"/>
              </w:rPr>
              <w:t>연간 추가 매출</w:t>
            </w:r>
          </w:p>
        </w:tc>
        <w:tc>
          <w:tcPr>
            <w:tcW w:type="dxa" w:w="3216"/>
            <w:tcMar>
              <w:top w:w="75" w:type="dxa"/>
              <w:start w:w="90" w:type="dxa"/>
              <w:bottom w:w="75" w:type="dxa"/>
              <w:end w:w="90" w:type="dxa"/>
            </w:tcMar>
          </w:tcPr>
          <w:p>
            <w:pPr>
              <w:jc w:val="center"/>
            </w:pPr>
            <w:r>
              <w:rPr>
                <w:rFonts w:ascii="Malgun Gothic" w:hAnsi="Malgun Gothic" w:eastAsia="맑은 고딕"/>
                <w:sz w:val="18"/>
              </w:rPr>
              <w:t>70,000,000원</w:t>
            </w:r>
          </w:p>
        </w:tc>
        <w:tc>
          <w:tcPr>
            <w:tcW w:type="dxa" w:w="3216"/>
            <w:tcMar>
              <w:top w:w="75" w:type="dxa"/>
              <w:start w:w="90" w:type="dxa"/>
              <w:bottom w:w="75" w:type="dxa"/>
              <w:end w:w="90" w:type="dxa"/>
            </w:tcMar>
          </w:tcPr>
          <w:p>
            <w:pPr>
              <w:jc w:val="left"/>
            </w:pPr>
            <w:r>
              <w:rPr>
                <w:rFonts w:ascii="Malgun Gothic" w:hAnsi="Malgun Gothic" w:eastAsia="맑은 고딕"/>
                <w:sz w:val="18"/>
              </w:rPr>
              <w:t>생산량 확대 및 불량률 감소 효과</w:t>
            </w:r>
          </w:p>
        </w:tc>
      </w:tr>
      <w:tr>
        <w:tc>
          <w:tcPr>
            <w:tcW w:type="dxa" w:w="3216"/>
            <w:tcMar>
              <w:top w:w="75" w:type="dxa"/>
              <w:start w:w="90" w:type="dxa"/>
              <w:bottom w:w="75" w:type="dxa"/>
              <w:end w:w="90" w:type="dxa"/>
            </w:tcMar>
          </w:tcPr>
          <w:p>
            <w:pPr>
              <w:jc w:val="center"/>
            </w:pPr>
            <w:r>
              <w:rPr>
                <w:rFonts w:ascii="Malgun Gothic" w:hAnsi="Malgun Gothic" w:eastAsia="맑은 고딕"/>
                <w:sz w:val="18"/>
              </w:rPr>
              <w:t>연간 추가 비용</w:t>
            </w:r>
          </w:p>
        </w:tc>
        <w:tc>
          <w:tcPr>
            <w:tcW w:type="dxa" w:w="3216"/>
            <w:tcMar>
              <w:top w:w="75" w:type="dxa"/>
              <w:start w:w="90" w:type="dxa"/>
              <w:bottom w:w="75" w:type="dxa"/>
              <w:end w:w="90" w:type="dxa"/>
            </w:tcMar>
          </w:tcPr>
          <w:p>
            <w:pPr>
              <w:jc w:val="center"/>
            </w:pPr>
            <w:r>
              <w:rPr>
                <w:rFonts w:ascii="Malgun Gothic" w:hAnsi="Malgun Gothic" w:eastAsia="맑은 고딕"/>
                <w:sz w:val="18"/>
              </w:rPr>
              <w:t>50,000,000원</w:t>
            </w:r>
          </w:p>
        </w:tc>
        <w:tc>
          <w:tcPr>
            <w:tcW w:type="dxa" w:w="3216"/>
            <w:tcMar>
              <w:top w:w="75" w:type="dxa"/>
              <w:start w:w="90" w:type="dxa"/>
              <w:bottom w:w="75" w:type="dxa"/>
              <w:end w:w="90" w:type="dxa"/>
            </w:tcMar>
          </w:tcPr>
          <w:p>
            <w:pPr>
              <w:jc w:val="left"/>
            </w:pPr>
            <w:r>
              <w:rPr>
                <w:rFonts w:ascii="Malgun Gothic" w:hAnsi="Malgun Gothic" w:eastAsia="맑은 고딕"/>
                <w:sz w:val="18"/>
              </w:rPr>
              <w:t>원재료·인건비·감가상각 등</w:t>
            </w:r>
          </w:p>
        </w:tc>
      </w:tr>
      <w:tr>
        <w:tc>
          <w:tcPr>
            <w:tcW w:type="dxa" w:w="3216"/>
            <w:tcMar>
              <w:top w:w="75" w:type="dxa"/>
              <w:start w:w="90" w:type="dxa"/>
              <w:bottom w:w="75" w:type="dxa"/>
              <w:end w:w="90" w:type="dxa"/>
            </w:tcMar>
          </w:tcPr>
          <w:p>
            <w:pPr>
              <w:jc w:val="center"/>
            </w:pPr>
            <w:r>
              <w:rPr>
                <w:rFonts w:ascii="Malgun Gothic" w:hAnsi="Malgun Gothic" w:eastAsia="맑은 고딕"/>
                <w:sz w:val="18"/>
              </w:rPr>
              <w:t>연간 추가 이익</w:t>
            </w:r>
          </w:p>
        </w:tc>
        <w:tc>
          <w:tcPr>
            <w:tcW w:type="dxa" w:w="3216"/>
            <w:tcMar>
              <w:top w:w="75" w:type="dxa"/>
              <w:start w:w="90" w:type="dxa"/>
              <w:bottom w:w="75" w:type="dxa"/>
              <w:end w:w="90" w:type="dxa"/>
            </w:tcMar>
          </w:tcPr>
          <w:p>
            <w:pPr>
              <w:jc w:val="center"/>
            </w:pPr>
            <w:r>
              <w:rPr>
                <w:rFonts w:ascii="Malgun Gothic" w:hAnsi="Malgun Gothic" w:eastAsia="맑은 고딕"/>
                <w:sz w:val="18"/>
              </w:rPr>
              <w:t>20,000,000원</w:t>
            </w:r>
          </w:p>
        </w:tc>
        <w:tc>
          <w:tcPr>
            <w:tcW w:type="dxa" w:w="3216"/>
            <w:tcMar>
              <w:top w:w="75" w:type="dxa"/>
              <w:start w:w="90" w:type="dxa"/>
              <w:bottom w:w="75" w:type="dxa"/>
              <w:end w:w="90" w:type="dxa"/>
            </w:tcMar>
          </w:tcPr>
          <w:p>
            <w:pPr>
              <w:jc w:val="left"/>
            </w:pPr>
            <w:r>
              <w:rPr>
                <w:rFonts w:ascii="Malgun Gothic" w:hAnsi="Malgun Gothic" w:eastAsia="맑은 고딕"/>
                <w:sz w:val="18"/>
              </w:rPr>
              <w:t>추가 매출 - 추가 비용</w:t>
            </w:r>
          </w:p>
        </w:tc>
      </w:tr>
    </w:tbl>
    <w:tbl>
      <w:tblPr>
        <w:tblW w:type="auto" w:w="0"/>
        <w:jc w:val="center"/>
        <w:tblLayout w:type="autofit"/>
        <w:tblLook w:firstColumn="1" w:firstRow="1" w:lastColumn="0" w:lastRow="0" w:noHBand="0" w:noVBand="1" w:val="04A0"/>
      </w:tblPr>
      <w:tblGrid>
        <w:gridCol w:w="9648"/>
      </w:tblGrid>
      <w:tr>
        <w:tc>
          <w:tcPr>
            <w:tcW w:type="dxa" w:w="9648"/>
            <w:shd w:fill="F2F6FA"/>
            <w:tcMar>
              <w:top w:w="120" w:type="dxa"/>
              <w:start w:w="160" w:type="dxa"/>
              <w:bottom w:w="120" w:type="dxa"/>
              <w:end w:w="160" w:type="dxa"/>
            </w:tcMar>
          </w:tcPr>
          <w:p>
            <w:pPr>
              <w:jc w:val="center"/>
            </w:pPr>
            <w:r>
              <w:rPr>
                <w:rFonts w:ascii="Malgun Gothic" w:hAnsi="Malgun Gothic" w:eastAsia="맑은 고딕"/>
                <w:b/>
                <w:color w:val="1F4E79"/>
                <w:sz w:val="21"/>
              </w:rPr>
              <w:t>ROI = 20,000,000원 ÷ 100,000,000원 × 100</w:t>
            </w:r>
          </w:p>
        </w:tc>
      </w:tr>
      <w:tr>
        <w:tc>
          <w:tcPr>
            <w:tcW w:type="dxa" w:w="9648"/>
            <w:shd w:fill="F2F6FA"/>
            <w:tcMar>
              <w:top w:w="120" w:type="dxa"/>
              <w:start w:w="160" w:type="dxa"/>
              <w:bottom w:w="120" w:type="dxa"/>
              <w:end w:w="160" w:type="dxa"/>
            </w:tcMar>
          </w:tcPr>
          <w:p>
            <w:pPr>
              <w:jc w:val="center"/>
            </w:pPr>
            <w:r>
              <w:rPr>
                <w:rFonts w:ascii="Malgun Gothic" w:hAnsi="Malgun Gothic" w:eastAsia="맑은 고딕"/>
                <w:b w:val="0"/>
                <w:sz w:val="21"/>
              </w:rPr>
              <w:t>ROI = 20%</w:t>
            </w:r>
          </w:p>
        </w:tc>
      </w:tr>
    </w:tbl>
    <w:p>
      <w:pPr>
        <w:spacing w:line="372" w:lineRule="auto" w:after="120" w:before="0"/>
        <w:ind w:firstLine="400"/>
        <w:jc w:val="both"/>
      </w:pPr>
      <w:r>
        <w:rPr>
          <w:rFonts w:ascii="Malgun Gothic" w:hAnsi="Malgun Gothic" w:eastAsia="맑은 고딕"/>
          <w:sz w:val="21"/>
        </w:rPr>
        <w:t>계산 결과 A사의 자동화 설비 투자 ROI는 20%이다. 이는 투자한 1원당 연간 0.20원의 이익을 창출한다는 의미로 해석할 수 있다. 회사가 내부적으로 요구하는 최소 투자수익률이 15%라면 단순 ROI 기준에서는 투자안이 기준을 초과하므로 경제성이 있는 것으로 볼 수 있다. 반면 회사의 목표수익률이 25%라면 동일한 투자안은 기대수익 기준을 충족하지 못하므로 추가적인 비용절감 방안이나 매출확대 가능성을 검토해야 한다.</w:t>
      </w:r>
    </w:p>
    <w:p>
      <w:pPr>
        <w:spacing w:line="372" w:lineRule="auto" w:after="120" w:before="0"/>
        <w:ind w:firstLine="400"/>
        <w:jc w:val="both"/>
      </w:pPr>
      <w:r>
        <w:rPr>
          <w:rFonts w:ascii="Malgun Gothic" w:hAnsi="Malgun Gothic" w:eastAsia="맑은 고딕"/>
          <w:sz w:val="21"/>
        </w:rPr>
        <w:t>이 사례를 재무제표와 연결하면 분석의 의미가 더 분명해진다. 설비를 취득하는 시점에는 재무상태표에서 현금이 감소하고 유형자산이 증가하며, 차입금으로 조달했다면 부채도 증가한다. 이후 손익계산서에는 추가 매출과 원재료비·인건비·감가상각비가 반영되어 추가 영업이익이 나타난다. 따라서 ROI 20%라는 수치는 단순한 계산 결과가 아니라 재무상태표상의 투자자산과 손익계산서상의 추가 이익을 연결한 성과지표라고 볼 수 있다.</w:t>
      </w:r>
    </w:p>
    <w:p>
      <w:pPr>
        <w:spacing w:before="120" w:after="100"/>
      </w:pPr>
      <w:r>
        <w:rPr>
          <w:rFonts w:ascii="Malgun Gothic" w:hAnsi="Malgun Gothic" w:eastAsia="맑은 고딕"/>
          <w:b/>
          <w:color w:val="2F5496"/>
          <w:sz w:val="25"/>
        </w:rPr>
        <w:t>6. ROI 결과 해석 시 고려사항</w:t>
      </w:r>
    </w:p>
    <w:p>
      <w:pPr>
        <w:spacing w:line="372" w:lineRule="auto" w:after="120" w:before="0"/>
        <w:ind w:firstLine="400"/>
        <w:jc w:val="both"/>
      </w:pPr>
      <w:r>
        <w:rPr>
          <w:rFonts w:ascii="Malgun Gothic" w:hAnsi="Malgun Gothic" w:eastAsia="맑은 고딕"/>
          <w:sz w:val="21"/>
        </w:rPr>
        <w:t>첫째, ROI는 비교 기준과 함께 해석해야 한다. 20%라는 수치만으로 투자 성공 여부를 단정하기보다는 회사의 자본비용, 과거 유사투자의 평균수익률, 경쟁사의 투자성과, 대체 투자안의 기대수익률과 비교해야 한다. 예를 들어 동일한 1억 원으로 다른 설비에 투자하면 25%의 ROI를 기대할 수 있다면 현재 설비의 20%는 절대적으로 양호하더라도 상대적으로는 열위의 대안이 될 수 있다.</w:t>
      </w:r>
    </w:p>
    <w:p>
      <w:pPr>
        <w:spacing w:line="372" w:lineRule="auto" w:after="120" w:before="0"/>
        <w:ind w:firstLine="400"/>
        <w:jc w:val="both"/>
      </w:pPr>
      <w:r>
        <w:rPr>
          <w:rFonts w:ascii="Malgun Gothic" w:hAnsi="Malgun Gothic" w:eastAsia="맑은 고딕"/>
          <w:sz w:val="21"/>
        </w:rPr>
        <w:t>둘째, ROI는 회계이익 기준과 현금흐름 기준에서 다른 결과가 나타날 수 있다. 감가상각비는 손익계산서에서 비용으로 처리되지만 실제 현금 유출은 자산 취득 시점에 이미 발생한다. 또한 외상매출 증가로 손익계산서상 이익이 발생했더라도 매출채권 회수가 늦어지면 실제 현금유입은 지연될 수 있다. 그러므로 설비투자처럼 장기간 현금흐름이 발생하는 의사결정에서는 ROI를 1차 지표로 활용하되 현금흐름표와 NPV, IRR 분석을 함께 사용하는 것이 합리적이다.</w:t>
      </w:r>
    </w:p>
    <w:p>
      <w:pPr>
        <w:spacing w:line="372" w:lineRule="auto" w:after="120" w:before="0"/>
        <w:ind w:firstLine="400"/>
        <w:jc w:val="both"/>
      </w:pPr>
      <w:r>
        <w:rPr>
          <w:rFonts w:ascii="Malgun Gothic" w:hAnsi="Malgun Gothic" w:eastAsia="맑은 고딕"/>
          <w:sz w:val="21"/>
        </w:rPr>
        <w:t>셋째, ROI를 높이기 위한 경영활동은 두 가지 방향으로 나누어 볼 수 있다. 하나는 매출 확대와 비용 절감을 통해 이익을 증가시키는 것이고, 다른 하나는 불필요한 재고나 유휴자산을 축소하여 투자자본을 효율화하는 것이다. 전자는 주로 손익계산서의 개선으로, 후자는 재무상태표의 자산구성 개선으로 확인된다. 이처럼 ROI는 수익성만이 아니라 자산운용 효율성까지 동시에 고려하게 하므로 성과관리 도구로서 가치가 있다.</w:t>
      </w:r>
    </w:p>
    <w:p>
      <w:pPr>
        <w:spacing w:before="200" w:after="100"/>
      </w:pPr>
      <w:r>
        <w:rPr>
          <w:rFonts w:ascii="Malgun Gothic" w:hAnsi="Malgun Gothic" w:eastAsia="맑은 고딕"/>
          <w:b/>
          <w:color w:val="1F4E79"/>
          <w:sz w:val="30"/>
        </w:rPr>
        <w:t>Ⅲ. 결론</w:t>
      </w:r>
    </w:p>
    <w:p>
      <w:pPr>
        <w:spacing w:line="372" w:lineRule="auto" w:after="120" w:before="0"/>
        <w:ind w:firstLine="400"/>
        <w:jc w:val="both"/>
      </w:pPr>
      <w:r>
        <w:rPr>
          <w:rFonts w:ascii="Malgun Gothic" w:hAnsi="Malgun Gothic" w:eastAsia="맑은 고딕"/>
          <w:sz w:val="21"/>
        </w:rPr>
        <w:t>재무상태표와 손익계산서는 기업의 재무정보를 이해하는 가장 기본적인 보고서이지만, 제공하는 정보의 성격은 서로 다르다. 재무상태표는 특정 시점의 자산·부채·자본을 통해 기업의 재무구조와 자원 조달상태를 보여 주며, 손익계산서는 일정 기간의 수익과 비용을 통해 기업의 경영성과와 수익성을 나타낸다. 따라서 기업의 실제 상태를 정확하게 평가하려면 어느 하나만 보는 것이 아니라 두 재무제표를 함께 해석해야 한다.</w:t>
      </w:r>
    </w:p>
    <w:p>
      <w:pPr>
        <w:spacing w:line="372" w:lineRule="auto" w:after="120" w:before="0"/>
        <w:ind w:firstLine="400"/>
        <w:jc w:val="both"/>
      </w:pPr>
      <w:r>
        <w:rPr>
          <w:rFonts w:ascii="Malgun Gothic" w:hAnsi="Malgun Gothic" w:eastAsia="맑은 고딕"/>
          <w:sz w:val="21"/>
        </w:rPr>
        <w:t>ROI는 이러한 재무정보를 투자성과의 관점에서 연결해 주는 대표적인 지표이다. 본문의 사례에서 A사가 1억 원을 투자해 연간 2천만 원의 추가 이익을 창출할 경우 ROI는 20%로 계산되었다. 이는 투자금액 대비 이익창출 능력을 직관적으로 보여 주며 내부 목표수익률이나 다른 투자대안과 비교하는 데 유용하다. 특히 ROI 개선은 손익계산서상의 이익 증가뿐 아니라 재무상태표상의 투자자산 효율화와도 연관되어 있다는 점에서 경영관리상 의미가 크다.</w:t>
      </w:r>
    </w:p>
    <w:p>
      <w:pPr>
        <w:spacing w:line="372" w:lineRule="auto" w:after="120" w:before="0"/>
        <w:ind w:firstLine="400"/>
        <w:jc w:val="both"/>
      </w:pPr>
      <w:r>
        <w:rPr>
          <w:rFonts w:ascii="Malgun Gothic" w:hAnsi="Malgun Gothic" w:eastAsia="맑은 고딕"/>
          <w:sz w:val="21"/>
        </w:rPr>
        <w:t>다만 ROI는 투자기간, 현금흐름의 시점, 자본비용 등 장기적인 경제성을 모두 반영하지 못한다는 한계가 있다. 따라서 실제 투자 의사결정에서는 ROI를 기초적인 성과지표로 사용하되 NPV나 IRR과 같은 시간가치 기반 지표, 그리고 기업의 유동성·부채수준·현금흐름을 종합적으로 검토해야 한다. 결국 재무제표와 투자성과 지표를 연계하여 해석하는 능력은 기업의 재무건전성을 파악하고 합리적인 의사결정을 수행하는 데 필요한 기본 역량이라고 할 수 있다.</w:t>
      </w:r>
    </w:p>
    <w:p>
      <w:pPr>
        <w:spacing w:before="200" w:after="100"/>
      </w:pPr>
      <w:r>
        <w:rPr>
          <w:rFonts w:ascii="Malgun Gothic" w:hAnsi="Malgun Gothic" w:eastAsia="맑은 고딕"/>
          <w:b/>
          <w:color w:val="1F4E79"/>
          <w:sz w:val="30"/>
        </w:rPr>
        <w:t>Ⅳ. 참고문헌</w:t>
      </w:r>
    </w:p>
    <w:p>
      <w:pPr>
        <w:spacing w:line="324" w:lineRule="auto" w:after="100"/>
        <w:ind w:left="280" w:hanging="280"/>
      </w:pPr>
      <w:r>
        <w:rPr>
          <w:rFonts w:ascii="Malgun Gothic" w:hAnsi="Malgun Gothic" w:eastAsia="맑은 고딕"/>
          <w:sz w:val="20"/>
        </w:rPr>
        <w:t>IFRS Foundation. (2018). Conceptual Framework for Financial Reporting. IFRS Foundation.</w:t>
      </w:r>
    </w:p>
    <w:p>
      <w:pPr>
        <w:spacing w:line="324" w:lineRule="auto" w:after="100"/>
        <w:ind w:left="280" w:hanging="280"/>
      </w:pPr>
      <w:r>
        <w:rPr>
          <w:rFonts w:ascii="Malgun Gothic" w:hAnsi="Malgun Gothic" w:eastAsia="맑은 고딕"/>
          <w:sz w:val="20"/>
        </w:rPr>
        <w:t>Kieso, D. E., Weygandt, J. J., &amp; Warfield, T. D. (2019). Intermediate Accounting (17th ed.). Wiley.</w:t>
      </w:r>
    </w:p>
    <w:p>
      <w:pPr>
        <w:spacing w:line="324" w:lineRule="auto" w:after="100"/>
        <w:ind w:left="280" w:hanging="280"/>
      </w:pPr>
      <w:r>
        <w:rPr>
          <w:rFonts w:ascii="Malgun Gothic" w:hAnsi="Malgun Gothic" w:eastAsia="맑은 고딕"/>
          <w:sz w:val="20"/>
        </w:rPr>
        <w:t>Ross, S. A., Westerfield, R. W., &amp; Jordan, B. D. (2020). Essentials of Corporate Finance (10th ed.). McGraw-Hill.</w:t>
      </w:r>
    </w:p>
    <w:p>
      <w:pPr>
        <w:spacing w:line="324" w:lineRule="auto" w:after="100"/>
        <w:ind w:left="280" w:hanging="280"/>
      </w:pPr>
      <w:r>
        <w:rPr>
          <w:rFonts w:ascii="Malgun Gothic" w:hAnsi="Malgun Gothic" w:eastAsia="맑은 고딕"/>
          <w:sz w:val="20"/>
        </w:rPr>
        <w:t>Gitman, L. J., &amp; Zutter, C. J. (2015). Principles of Managerial Finance (14th ed.). Pearson.</w:t>
      </w:r>
    </w:p>
    <w:p>
      <w:pPr>
        <w:spacing w:line="324" w:lineRule="auto" w:after="100"/>
        <w:ind w:left="280" w:hanging="280"/>
      </w:pPr>
      <w:r>
        <w:rPr>
          <w:rFonts w:ascii="Malgun Gothic" w:hAnsi="Malgun Gothic" w:eastAsia="맑은 고딕"/>
          <w:sz w:val="20"/>
        </w:rPr>
      </w:r>
    </w:p>
    <w:p>
      <w:r>
        <w:br w:type="page"/>
      </w:r>
    </w:p>
    <w:p>
      <w:pPr>
        <w:spacing w:before="1000"/>
        <w:jc w:val="center"/>
      </w:pPr>
      <w:r>
        <w:rPr>
          <w:rFonts w:ascii="Malgun Gothic" w:hAnsi="Malgun Gothic" w:eastAsia="맑은 고딕"/>
          <w:b/>
          <w:color w:val="B43232"/>
          <w:sz w:val="34"/>
        </w:rPr>
        <w:t>주의사항</w:t>
      </w:r>
    </w:p>
    <w:p>
      <w:pPr>
        <w:spacing w:after="100"/>
        <w:jc w:val="center"/>
      </w:pPr>
      <w:r>
        <w:rPr>
          <w:rFonts w:ascii="Malgun Gothic" w:hAnsi="Malgun Gothic" w:eastAsia="맑은 고딕"/>
          <w:b w:val="0"/>
          <w:sz w:val="22"/>
        </w:rPr>
        <w:t>본 자료는 학점은행제 과제 참고용 샘플입니다.</w:t>
      </w:r>
    </w:p>
    <w:p>
      <w:pPr>
        <w:spacing w:after="100"/>
        <w:jc w:val="center"/>
      </w:pPr>
      <w:r>
        <w:rPr>
          <w:rFonts w:ascii="Malgun Gothic" w:hAnsi="Malgun Gothic" w:eastAsia="맑은 고딕"/>
          <w:b w:val="0"/>
          <w:sz w:val="22"/>
        </w:rPr>
        <w:t>위 학습 자료를 그대로 제출할 경우 모사율(표절률)로 인하여</w:t>
      </w:r>
    </w:p>
    <w:p>
      <w:pPr>
        <w:spacing w:after="100"/>
        <w:jc w:val="center"/>
      </w:pPr>
      <w:r>
        <w:rPr>
          <w:rFonts w:ascii="Malgun Gothic" w:hAnsi="Malgun Gothic" w:eastAsia="맑은 고딕"/>
          <w:b w:val="0"/>
          <w:sz w:val="22"/>
        </w:rPr>
        <w:t>성적 불이익 또는 해당 과목 0점 처리될 수 있습니다.</w:t>
      </w:r>
    </w:p>
    <w:p>
      <w:pPr>
        <w:spacing w:after="100"/>
        <w:jc w:val="center"/>
      </w:pPr>
      <w:r>
        <w:rPr>
          <w:rFonts w:ascii="Malgun Gothic" w:hAnsi="Malgun Gothic" w:eastAsia="맑은 고딕"/>
          <w:b/>
          <w:sz w:val="22"/>
        </w:rPr>
        <w:t>반드시 본인의 언어로 수정·재작성하여 제출하시기 바랍니다.</w:t>
      </w:r>
    </w:p>
    <w:p>
      <w:pPr>
        <w:spacing w:before="760"/>
        <w:jc w:val="center"/>
      </w:pPr>
      <w:r>
        <w:rPr>
          <w:rFonts w:ascii="Malgun Gothic" w:hAnsi="Malgun Gothic" w:eastAsia="맑은 고딕"/>
          <w:b/>
          <w:color w:val="1F4E79"/>
          <w:sz w:val="30"/>
        </w:rPr>
        <w:t>과제 수정이 어려우신가요?</w:t>
      </w:r>
    </w:p>
    <w:p>
      <w:pPr>
        <w:spacing w:after="60"/>
        <w:jc w:val="center"/>
      </w:pPr>
      <w:r>
        <w:rPr>
          <w:rFonts w:ascii="Malgun Gothic" w:hAnsi="Malgun Gothic" w:eastAsia="맑은 고딕"/>
          <w:sz w:val="21"/>
        </w:rPr>
        <w:t>국민원격교육관리센터에서 1:1 과제 수정 도움을 드립니다.</w:t>
      </w:r>
    </w:p>
    <w:p>
      <w:pPr>
        <w:spacing w:after="60"/>
        <w:jc w:val="center"/>
      </w:pPr>
      <w:r>
        <w:rPr>
          <w:rFonts w:ascii="Malgun Gothic" w:hAnsi="Malgun Gothic" w:eastAsia="맑은 고딕"/>
          <w:sz w:val="21"/>
        </w:rPr>
        <w:t>아래 연락처로 문의해 주세요.</w:t>
      </w:r>
    </w:p>
    <w:tbl>
      <w:tblPr>
        <w:tblStyle w:val="TableGrid"/>
        <w:tblW w:type="auto" w:w="0"/>
        <w:jc w:val="center"/>
        <w:tblLook w:firstColumn="1" w:firstRow="1" w:lastColumn="0" w:lastRow="0" w:noHBand="0" w:noVBand="1" w:val="04A0"/>
      </w:tblPr>
      <w:tblGrid>
        <w:gridCol w:w="4824"/>
        <w:gridCol w:w="4824"/>
      </w:tblGrid>
      <w:tr>
        <w:tc>
          <w:tcPr>
            <w:tcW w:type="dxa" w:w="4824"/>
            <w:shd w:fill="EAF2F8"/>
            <w:tcMar>
              <w:top w:w="110" w:type="dxa"/>
              <w:start w:w="140" w:type="dxa"/>
              <w:bottom w:w="110" w:type="dxa"/>
              <w:end w:w="140" w:type="dxa"/>
            </w:tcMar>
          </w:tcPr>
          <w:p>
            <w:pPr>
              <w:jc w:val="center"/>
            </w:pPr>
            <w:r>
              <w:rPr>
                <w:rFonts w:ascii="Malgun Gothic" w:hAnsi="Malgun Gothic" w:eastAsia="맑은 고딕"/>
                <w:b/>
                <w:color w:val="1F4E79"/>
                <w:sz w:val="21"/>
              </w:rPr>
              <w:t>전화</w:t>
            </w:r>
          </w:p>
        </w:tc>
        <w:tc>
          <w:tcPr>
            <w:tcW w:type="dxa" w:w="4824"/>
            <w:tcMar>
              <w:top w:w="110" w:type="dxa"/>
              <w:start w:w="140" w:type="dxa"/>
              <w:bottom w:w="110" w:type="dxa"/>
              <w:end w:w="140" w:type="dxa"/>
            </w:tcMar>
          </w:tcPr>
          <w:p>
            <w:pPr>
              <w:jc w:val="center"/>
            </w:pPr>
            <w:r>
              <w:rPr>
                <w:rFonts w:ascii="Malgun Gothic" w:hAnsi="Malgun Gothic" w:eastAsia="맑은 고딕"/>
                <w:sz w:val="21"/>
              </w:rPr>
              <w:t>050-7878-7044</w:t>
            </w:r>
          </w:p>
        </w:tc>
      </w:tr>
      <w:tr>
        <w:tc>
          <w:tcPr>
            <w:tcW w:type="dxa" w:w="4824"/>
            <w:shd w:fill="EAF2F8"/>
            <w:tcMar>
              <w:top w:w="110" w:type="dxa"/>
              <w:start w:w="140" w:type="dxa"/>
              <w:bottom w:w="110" w:type="dxa"/>
              <w:end w:w="140" w:type="dxa"/>
            </w:tcMar>
          </w:tcPr>
          <w:p>
            <w:pPr>
              <w:jc w:val="center"/>
            </w:pPr>
            <w:r>
              <w:rPr>
                <w:rFonts w:ascii="Malgun Gothic" w:hAnsi="Malgun Gothic" w:eastAsia="맑은 고딕"/>
                <w:b/>
                <w:color w:val="1F4E79"/>
                <w:sz w:val="21"/>
              </w:rPr>
              <w:t>카카오톡</w:t>
            </w:r>
          </w:p>
        </w:tc>
        <w:tc>
          <w:tcPr>
            <w:tcW w:type="dxa" w:w="4824"/>
            <w:tcMar>
              <w:top w:w="110" w:type="dxa"/>
              <w:start w:w="140" w:type="dxa"/>
              <w:bottom w:w="110" w:type="dxa"/>
              <w:end w:w="140" w:type="dxa"/>
            </w:tcMar>
          </w:tcPr>
          <w:p>
            <w:pPr>
              <w:jc w:val="center"/>
            </w:pPr>
            <w:r>
              <w:rPr>
                <w:rFonts w:ascii="Malgun Gothic" w:hAnsi="Malgun Gothic" w:eastAsia="맑은 고딕"/>
                <w:sz w:val="21"/>
              </w:rPr>
              <w:t>@국민원격교육관리센터</w:t>
            </w:r>
          </w:p>
        </w:tc>
      </w:tr>
      <w:tr>
        <w:tc>
          <w:tcPr>
            <w:tcW w:type="dxa" w:w="4824"/>
            <w:shd w:fill="EAF2F8"/>
            <w:tcMar>
              <w:top w:w="110" w:type="dxa"/>
              <w:start w:w="140" w:type="dxa"/>
              <w:bottom w:w="110" w:type="dxa"/>
              <w:end w:w="140" w:type="dxa"/>
            </w:tcMar>
          </w:tcPr>
          <w:p>
            <w:pPr>
              <w:jc w:val="center"/>
            </w:pPr>
            <w:r>
              <w:rPr>
                <w:rFonts w:ascii="Malgun Gothic" w:hAnsi="Malgun Gothic" w:eastAsia="맑은 고딕"/>
                <w:b/>
                <w:color w:val="1F4E79"/>
                <w:sz w:val="21"/>
              </w:rPr>
              <w:t>운영시간</w:t>
            </w:r>
          </w:p>
        </w:tc>
        <w:tc>
          <w:tcPr>
            <w:tcW w:type="dxa" w:w="4824"/>
            <w:tcMar>
              <w:top w:w="110" w:type="dxa"/>
              <w:start w:w="140" w:type="dxa"/>
              <w:bottom w:w="110" w:type="dxa"/>
              <w:end w:w="140" w:type="dxa"/>
            </w:tcMar>
          </w:tcPr>
          <w:p>
            <w:pPr>
              <w:jc w:val="center"/>
            </w:pPr>
            <w:r>
              <w:rPr>
                <w:rFonts w:ascii="Malgun Gothic" w:hAnsi="Malgun Gothic" w:eastAsia="맑은 고딕"/>
                <w:sz w:val="21"/>
              </w:rPr>
              <w:t>평일 10:00–19:00</w:t>
            </w:r>
          </w:p>
        </w:tc>
      </w:tr>
      <w:tr>
        <w:tc>
          <w:tcPr>
            <w:tcW w:type="dxa" w:w="4824"/>
            <w:shd w:fill="EAF2F8"/>
            <w:tcMar>
              <w:top w:w="110" w:type="dxa"/>
              <w:start w:w="140" w:type="dxa"/>
              <w:bottom w:w="110" w:type="dxa"/>
              <w:end w:w="140" w:type="dxa"/>
            </w:tcMar>
          </w:tcPr>
          <w:p>
            <w:pPr>
              <w:jc w:val="center"/>
            </w:pPr>
            <w:r>
              <w:rPr>
                <w:rFonts w:ascii="Malgun Gothic" w:hAnsi="Malgun Gothic" w:eastAsia="맑은 고딕"/>
                <w:b/>
                <w:color w:val="1F4E79"/>
                <w:sz w:val="21"/>
              </w:rPr>
              <w:t>웹사이트</w:t>
            </w:r>
          </w:p>
        </w:tc>
        <w:tc>
          <w:tcPr>
            <w:tcW w:type="dxa" w:w="4824"/>
            <w:tcMar>
              <w:top w:w="110" w:type="dxa"/>
              <w:start w:w="140" w:type="dxa"/>
              <w:bottom w:w="110" w:type="dxa"/>
              <w:end w:w="140" w:type="dxa"/>
            </w:tcMar>
          </w:tcPr>
          <w:p>
            <w:pPr>
              <w:jc w:val="center"/>
            </w:pPr>
            <w:r>
              <w:rPr>
                <w:rFonts w:ascii="Malgun Gothic" w:hAnsi="Malgun Gothic" w:eastAsia="맑은 고딕"/>
                <w:sz w:val="21"/>
              </w:rPr>
              <w:t>korealms.co.kr</w:t>
            </w:r>
          </w:p>
        </w:tc>
      </w:tr>
    </w:tbl>
    <w:sectPr w:rsidR="00FC693F" w:rsidRPr="0006063C" w:rsidSect="00034616">
      <w:footerReference w:type="default" r:id="rId9"/>
      <w:pgSz w:w="12240" w:h="15840"/>
      <w:pgMar w:top="1224"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맑은 고딕"/>
        <w:color w:val="6E6E6E"/>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재무상태표와 손익계산서의 개념·활용 목적 및 ROI 사례 분석</dc:title>
  <dc:subject>재무관리 학점은행제 과제 참고용 샘플</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