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800"/>
        <w:jc w:val="center"/>
      </w:pPr>
      <w:r>
        <w:rPr>
          <w:rFonts w:ascii="Malgun Gothic" w:hAnsi="Malgun Gothic" w:eastAsia="Malgun Gothic"/>
          <w:b/>
          <w:color w:val="204E79"/>
          <w:sz w:val="40"/>
        </w:rPr>
        <w:t>생 산 관 리</w:t>
      </w:r>
    </w:p>
    <w:p>
      <w:pPr>
        <w:spacing w:before="360"/>
        <w:jc w:val="center"/>
      </w:pPr>
      <w:r>
        <w:rPr>
          <w:rFonts w:ascii="Malgun Gothic" w:hAnsi="Malgun Gothic" w:eastAsia="Malgun Gothic"/>
          <w:b/>
          <w:color w:val="1E1E1E"/>
          <w:sz w:val="44"/>
        </w:rPr>
        <w:t>제품수명주기와 서비스수명주기의 차이점에 대한 비교 연구</w:t>
      </w:r>
    </w:p>
    <w:p>
      <w:pPr>
        <w:spacing w:before="200"/>
        <w:jc w:val="center"/>
      </w:pPr>
      <w:r>
        <w:rPr>
          <w:rFonts w:ascii="Malgun Gothic" w:hAnsi="Malgun Gothic" w:eastAsia="Malgun Gothic"/>
          <w:color w:val="5A5A5A"/>
          <w:sz w:val="22"/>
        </w:rPr>
        <w:t>제품과 서비스의 수명주기 특성이 생산관리 의사결정에 미치는 영향을 중심으로</w:t>
      </w:r>
    </w:p>
    <w:p>
      <w:pPr>
        <w:spacing w:before="480"/>
        <w:jc w:val="center"/>
      </w:pPr>
      <w:r>
        <w:rPr>
          <w:rFonts w:ascii="Malgun Gothic" w:hAnsi="Malgun Gothic" w:eastAsia="Malgun Gothic"/>
          <w:color w:val="8CA0B4"/>
          <w:sz w:val="18"/>
        </w:rPr>
        <w:t>━━━━━━━━━━━━━━━━━━━━━━━━━━━━━━━━━━━━━━━━━━</w:t>
      </w:r>
    </w:p>
    <w:p>
      <w:pPr>
        <w:spacing w:before="480"/>
        <w:jc w:val="center"/>
      </w:pPr>
      <w:r>
        <w:rPr>
          <w:rFonts w:ascii="Malgun Gothic" w:hAnsi="Malgun Gothic" w:eastAsia="Malgun Gothic"/>
          <w:b/>
          <w:color w:val="204E79"/>
          <w:sz w:val="30"/>
        </w:rPr>
        <w:t>목 차</w:t>
      </w:r>
    </w:p>
    <w:p>
      <w:pPr>
        <w:spacing w:after="60"/>
        <w:ind w:left="1134" w:right="1134"/>
      </w:pPr>
      <w:r>
        <w:rPr>
          <w:rFonts w:ascii="Malgun Gothic" w:hAnsi="Malgun Gothic" w:eastAsia="Malgun Gothic"/>
          <w:sz w:val="21"/>
        </w:rPr>
        <w:t>1. 서론</w:t>
      </w:r>
    </w:p>
    <w:p>
      <w:pPr>
        <w:spacing w:after="60"/>
        <w:ind w:left="1134" w:right="1134"/>
      </w:pPr>
      <w:r>
        <w:rPr>
          <w:rFonts w:ascii="Malgun Gothic" w:hAnsi="Malgun Gothic" w:eastAsia="Malgun Gothic"/>
          <w:sz w:val="21"/>
        </w:rPr>
        <w:t>2. 본론</w:t>
      </w:r>
    </w:p>
    <w:p>
      <w:pPr>
        <w:spacing w:after="60"/>
        <w:ind w:left="1134" w:right="1134"/>
      </w:pPr>
      <w:r>
        <w:rPr>
          <w:rFonts w:ascii="Malgun Gothic" w:hAnsi="Malgun Gothic" w:eastAsia="Malgun Gothic"/>
          <w:sz w:val="21"/>
        </w:rPr>
        <w:t xml:space="preserve">   2.1 제품수명주기의 개념과 단계</w:t>
      </w:r>
    </w:p>
    <w:p>
      <w:pPr>
        <w:spacing w:after="60"/>
        <w:ind w:left="1134" w:right="1134"/>
      </w:pPr>
      <w:r>
        <w:rPr>
          <w:rFonts w:ascii="Malgun Gothic" w:hAnsi="Malgun Gothic" w:eastAsia="Malgun Gothic"/>
          <w:sz w:val="21"/>
        </w:rPr>
        <w:t xml:space="preserve">   2.2 서비스수명주기의 개념과 단계</w:t>
      </w:r>
    </w:p>
    <w:p>
      <w:pPr>
        <w:spacing w:after="60"/>
        <w:ind w:left="1134" w:right="1134"/>
      </w:pPr>
      <w:r>
        <w:rPr>
          <w:rFonts w:ascii="Malgun Gothic" w:hAnsi="Malgun Gothic" w:eastAsia="Malgun Gothic"/>
          <w:sz w:val="21"/>
        </w:rPr>
        <w:t xml:space="preserve">   2.3 사례 비교: 스마트폰과 OTT 구독 서비스</w:t>
      </w:r>
    </w:p>
    <w:p>
      <w:pPr>
        <w:spacing w:after="60"/>
        <w:ind w:left="1134" w:right="1134"/>
      </w:pPr>
      <w:r>
        <w:rPr>
          <w:rFonts w:ascii="Malgun Gothic" w:hAnsi="Malgun Gothic" w:eastAsia="Malgun Gothic"/>
          <w:sz w:val="21"/>
        </w:rPr>
        <w:t xml:space="preserve">   2.4 제품수명주기와 서비스수명주기의 차이</w:t>
      </w:r>
    </w:p>
    <w:p>
      <w:pPr>
        <w:spacing w:after="60"/>
        <w:ind w:left="1134" w:right="1134"/>
      </w:pPr>
      <w:r>
        <w:rPr>
          <w:rFonts w:ascii="Malgun Gothic" w:hAnsi="Malgun Gothic" w:eastAsia="Malgun Gothic"/>
          <w:sz w:val="21"/>
        </w:rPr>
        <w:t xml:space="preserve">   2.5 생산관리적 시사점</w:t>
      </w:r>
    </w:p>
    <w:p>
      <w:pPr>
        <w:spacing w:after="60"/>
        <w:ind w:left="1134" w:right="1134"/>
      </w:pPr>
      <w:r>
        <w:rPr>
          <w:rFonts w:ascii="Malgun Gothic" w:hAnsi="Malgun Gothic" w:eastAsia="Malgun Gothic"/>
          <w:sz w:val="21"/>
        </w:rPr>
        <w:t>3. 결론</w:t>
      </w:r>
    </w:p>
    <w:p>
      <w:pPr>
        <w:spacing w:after="60"/>
        <w:ind w:left="1134" w:right="1134"/>
      </w:pPr>
      <w:r>
        <w:rPr>
          <w:rFonts w:ascii="Malgun Gothic" w:hAnsi="Malgun Gothic" w:eastAsia="Malgun Gothic"/>
          <w:sz w:val="21"/>
        </w:rPr>
        <w:t>4. 참고문헌</w:t>
      </w:r>
    </w:p>
    <w:p>
      <w:pPr>
        <w:spacing w:after="60"/>
        <w:ind w:left="1134" w:right="1134"/>
      </w:pPr>
      <w:r>
        <w:rPr>
          <w:rFonts w:ascii="Malgun Gothic" w:hAnsi="Malgun Gothic" w:eastAsia="Malgun Gothic"/>
          <w:sz w:val="21"/>
        </w:rPr>
        <w:t>5. 주의사항 및 연락처</w:t>
      </w:r>
    </w:p>
    <w:p>
      <w:pPr>
        <w:spacing w:before="280"/>
        <w:jc w:val="center"/>
      </w:pPr>
      <w:r>
        <w:rPr>
          <w:rFonts w:ascii="Malgun Gothic" w:hAnsi="Malgun Gothic" w:eastAsia="Malgun Gothic"/>
          <w:color w:val="646464"/>
          <w:sz w:val="19"/>
        </w:rPr>
        <w:t>※ 본 문서는 학점은행제 과제 작성을 위한 참고용 샘플입니다.</w:t>
      </w:r>
    </w:p>
    <w:p>
      <w:r>
        <w:br w:type="page"/>
      </w:r>
    </w:p>
    <w:p>
      <w:pPr>
        <w:pStyle w:val="Heading1"/>
        <w:keepNext/>
        <w:spacing w:before="240" w:after="140"/>
      </w:pPr>
      <w:r>
        <w:rPr>
          <w:rFonts w:ascii="Malgun Gothic" w:hAnsi="Malgun Gothic" w:eastAsia="Malgun Gothic"/>
          <w:b/>
          <w:color w:val="204E79"/>
          <w:sz w:val="30"/>
        </w:rPr>
        <w:t>1. 서론</w:t>
      </w:r>
    </w:p>
    <w:p>
      <w:pPr>
        <w:spacing w:line="372" w:lineRule="auto" w:after="140"/>
        <w:ind w:firstLine="454"/>
        <w:jc w:val="both"/>
      </w:pPr>
      <w:r>
        <w:rPr>
          <w:rFonts w:ascii="Malgun Gothic" w:hAnsi="Malgun Gothic" w:eastAsia="Malgun Gothic"/>
          <w:sz w:val="22"/>
        </w:rPr>
        <w:t>기업의 생산관리 활동은 단순히 일정한 양의 제품이나 서비스를 제공하는 데 그치지 않는다. 시장의 수요가 언제 증가하고 정체되며 감소하는지를 파악하여 적절한 설비, 인력, 재고, 품질관리 및 프로세스 전략을 설계하는 것이 중요하다. 이러한 관점에서 수명주기(life cycle)는 시장수요의 변화와 운영전략을 연결하는 대표적인 개념이다. 제품수명주기(Product Life Cycle: PLC)는 제품이 시장에 도입된 이후 성장, 성숙, 쇠퇴의 과정을 거친다는 관점이며, 기업은 단계별로 생산능력과 원가구조, 품질수준, 공급망 운영방식을 달리할 필요가 있다. Levitt(1965)는 제품의 수명주기 개념을 전략적 의사결정 도구로 활용할 수 있음을 강조하였고, 현대의 생산관리 교재에서도 제품 수요의 변화가 공정과 생산능력 의사결정에 직접적인 영향을 미친다는 점이 중요하게 다루어진다.</w:t>
      </w:r>
    </w:p>
    <w:p>
      <w:pPr>
        <w:spacing w:line="372" w:lineRule="auto" w:after="140"/>
        <w:ind w:firstLine="454"/>
        <w:jc w:val="both"/>
      </w:pPr>
      <w:r>
        <w:rPr>
          <w:rFonts w:ascii="Malgun Gothic" w:hAnsi="Malgun Gothic" w:eastAsia="Malgun Gothic"/>
          <w:sz w:val="22"/>
        </w:rPr>
        <w:t>서비스도 시장에서 도입되고 확산되며 성숙과 쇠퇴를 경험한다는 점에서는 제품과 유사하다. 그러나 서비스는 무형성, 생산과 소비의 동시성, 이질성, 소멸성 등의 특성을 가지므로 수명주기를 관리하는 방법에서 제품과 차이가 발생한다. 예를 들어 제조기업은 성장기에 재고와 설비를 확대하여 대량수요에 대응할 수 있지만, 서비스기업은 저장할 수 없는 서비스 능력을 고객의 도착 패턴에 맞추어 배치해야 한다. 또한 서비스는 고객이 생산과정에 직접 참여하는 경우가 많아 수요 증가가 곧바로 접점 인력의 업무량, 대기시간, 서비스 품질의 편차로 이어질 수 있다.</w:t>
      </w:r>
    </w:p>
    <w:p>
      <w:pPr>
        <w:spacing w:line="372" w:lineRule="auto" w:after="140"/>
        <w:ind w:firstLine="454"/>
        <w:jc w:val="both"/>
      </w:pPr>
      <w:r>
        <w:rPr>
          <w:rFonts w:ascii="Malgun Gothic" w:hAnsi="Malgun Gothic" w:eastAsia="Malgun Gothic"/>
          <w:sz w:val="22"/>
        </w:rPr>
        <w:t>본 과제에서는 첫째, 제품수명주기와 서비스수명주기의 개념 및 각 단계를 정리하고, 둘째, 스마트폰이라는 유형의 제품과 OTT(온라인 동영상 스트리밍) 구독 서비스의 사례를 통해 각 단계에서 나타나는 운영상의 특징을 비교한다. 셋째, 재고 가능성, 생산·소비 관계, 생산능력 관리, 품질관리, 고객관계 및 수명주기 연장 방식 등의 기준으로 두 수명주기의 차이를 분석한 후, 생산관리 측면에서 갖는 시사점을 제시하고자 한다.</w:t>
      </w:r>
    </w:p>
    <w:p>
      <w:pPr>
        <w:pStyle w:val="Heading1"/>
        <w:keepNext/>
        <w:spacing w:before="240" w:after="140"/>
      </w:pPr>
      <w:r>
        <w:rPr>
          <w:rFonts w:ascii="Malgun Gothic" w:hAnsi="Malgun Gothic" w:eastAsia="Malgun Gothic"/>
          <w:b/>
          <w:color w:val="204E79"/>
          <w:sz w:val="30"/>
        </w:rPr>
        <w:t>2. 본론</w:t>
      </w:r>
    </w:p>
    <w:p>
      <w:pPr>
        <w:pStyle w:val="Heading2"/>
        <w:keepNext/>
        <w:spacing w:before="160" w:after="140"/>
      </w:pPr>
      <w:r>
        <w:rPr>
          <w:rFonts w:ascii="Malgun Gothic" w:hAnsi="Malgun Gothic" w:eastAsia="Malgun Gothic"/>
          <w:b/>
          <w:color w:val="2E5C8A"/>
          <w:sz w:val="25"/>
        </w:rPr>
        <w:t>2.1 제품수명주기의 개념과 단계</w:t>
      </w:r>
    </w:p>
    <w:p>
      <w:pPr>
        <w:spacing w:line="372" w:lineRule="auto" w:after="140"/>
        <w:ind w:firstLine="454"/>
        <w:jc w:val="both"/>
      </w:pPr>
      <w:r>
        <w:rPr>
          <w:rFonts w:ascii="Malgun Gothic" w:hAnsi="Malgun Gothic" w:eastAsia="Malgun Gothic"/>
          <w:sz w:val="22"/>
        </w:rPr>
        <w:t>제품수명주기는 하나의 제품 또는 제품군이 시장에 등장한 뒤 일정 기간 동안 매출과 이익, 수요, 경쟁상황 등이 변화하는 과정을 단계적으로 설명하는 개념이다. 일반적으로 도입기, 성장기, 성숙기, 쇠퇴기의 네 단계로 구분한다. OpenStax(2023) 역시 제품수명주기를 도입·성장·성숙·쇠퇴의 네 단계로 설명하며, 각 단계에서 매출 증가 속도와 수익성, 경쟁강도가 달라진다고 정리한다. 생산관리에서는 이러한 변화가 생산량 예측, 설비투자, 공정유형, 재고수준, 납기, 공급업체 관리와 연결된다는 점이 중요하다.</w:t>
      </w:r>
    </w:p>
    <w:p>
      <w:pPr>
        <w:spacing w:line="372" w:lineRule="auto" w:after="140"/>
        <w:ind w:firstLine="454"/>
        <w:jc w:val="both"/>
      </w:pPr>
      <w:r>
        <w:rPr>
          <w:rFonts w:ascii="Malgun Gothic" w:hAnsi="Malgun Gothic" w:eastAsia="Malgun Gothic"/>
          <w:b/>
          <w:sz w:val="22"/>
        </w:rPr>
        <w:t>① 도입기</w:t>
      </w:r>
      <w:r>
        <w:rPr>
          <w:rFonts w:ascii="Malgun Gothic" w:hAnsi="Malgun Gothic" w:eastAsia="Malgun Gothic"/>
          <w:sz w:val="22"/>
        </w:rPr>
        <w:t xml:space="preserve"> 신제품이 시장에 처음 출시되는 단계이다. 수요의 규모와 지속성이 불확실하고 고객의 인지도가 낮기 때문에 생산량은 상대적으로 작다. 제품설계의 수정 가능성이 높아 유연한 공정과 숙련인력의 대응능력이 중요하다. 초기 품질문제나 부품수급 불안이 발생할 수 있으므로 공급망 안정화와 품질 피드백 체계를 구축해야 한다.</w:t>
      </w:r>
    </w:p>
    <w:p>
      <w:pPr>
        <w:spacing w:line="372" w:lineRule="auto" w:after="140"/>
        <w:ind w:firstLine="454"/>
        <w:jc w:val="both"/>
      </w:pPr>
      <w:r>
        <w:rPr>
          <w:rFonts w:ascii="Malgun Gothic" w:hAnsi="Malgun Gothic" w:eastAsia="Malgun Gothic"/>
          <w:b/>
          <w:sz w:val="22"/>
        </w:rPr>
        <w:t>② 성장기</w:t>
      </w:r>
      <w:r>
        <w:rPr>
          <w:rFonts w:ascii="Malgun Gothic" w:hAnsi="Malgun Gothic" w:eastAsia="Malgun Gothic"/>
          <w:sz w:val="22"/>
        </w:rPr>
        <w:t xml:space="preserve"> 시장의 수용도가 높아지면서 판매량이 빠르게 증가하는 단계이다. 기업은 수요 증가에 대응하기 위해 생산능력을 확대하고, 작업의 표준화와 자동화를 추진하며, 공급업체와의 장기적 협력관계를 강화한다. 생산량 증가에 따른 규모의 경제가 나타나 원가절감 가능성이 커지지만, 과도한 설비투자는 이후 수요가 둔화될 때 유휴설비 문제를 발생시킬 수 있다.</w:t>
      </w:r>
    </w:p>
    <w:p>
      <w:pPr>
        <w:spacing w:line="372" w:lineRule="auto" w:after="140"/>
        <w:ind w:firstLine="454"/>
        <w:jc w:val="both"/>
      </w:pPr>
      <w:r>
        <w:rPr>
          <w:rFonts w:ascii="Malgun Gothic" w:hAnsi="Malgun Gothic" w:eastAsia="Malgun Gothic"/>
          <w:b/>
          <w:sz w:val="22"/>
        </w:rPr>
        <w:t>③ 성숙기</w:t>
      </w:r>
      <w:r>
        <w:rPr>
          <w:rFonts w:ascii="Malgun Gothic" w:hAnsi="Malgun Gothic" w:eastAsia="Malgun Gothic"/>
          <w:sz w:val="22"/>
        </w:rPr>
        <w:t xml:space="preserve"> 판매량이 높은 수준에서 안정되거나 성장률이 둔화되는 단계이다. 경쟁이 심화되고 가격 및 품질 경쟁의 비중이 커지므로 생산관리의 초점은 원가절감, 품질의 일관성, 공정효율성, 납기 신뢰성으로 이동한다. 기존 설비의 생산성을 높이고 재고회전율을 개선하며 제품 변형이나 기능 추가를 통해 수명주기를 연장하는 전략이 활용된다.</w:t>
      </w:r>
    </w:p>
    <w:p>
      <w:pPr>
        <w:spacing w:line="372" w:lineRule="auto" w:after="140"/>
        <w:ind w:firstLine="454"/>
        <w:jc w:val="both"/>
      </w:pPr>
      <w:r>
        <w:rPr>
          <w:rFonts w:ascii="Malgun Gothic" w:hAnsi="Malgun Gothic" w:eastAsia="Malgun Gothic"/>
          <w:b/>
          <w:sz w:val="22"/>
        </w:rPr>
        <w:t>④ 쇠퇴기</w:t>
      </w:r>
      <w:r>
        <w:rPr>
          <w:rFonts w:ascii="Malgun Gothic" w:hAnsi="Malgun Gothic" w:eastAsia="Malgun Gothic"/>
          <w:sz w:val="22"/>
        </w:rPr>
        <w:t xml:space="preserve"> 대체기술의 등장, 소비자 선호 변화, 시장포화 등으로 수요가 감소하는 단계이다. 기업은 생산라인 축소, 설비 전환, 재고처분, 부품 공급 종료 시점 결정 등을 수행해야 한다. 지나치게 많은 재고를 보유하면 진부화 비용이 발생하므로 수요예측과 단계적 철수계획이 중요하다. 경우에 따라 틈새시장에 집중하거나 제품을 개선하여 새로운 성장단계를 유도할 수 있다.</w:t>
      </w:r>
    </w:p>
    <w:p>
      <w:r>
        <w:br w:type="page"/>
      </w:r>
    </w:p>
    <w:p>
      <w:pPr>
        <w:pStyle w:val="Heading2"/>
        <w:keepNext/>
        <w:spacing w:before="160" w:after="140"/>
      </w:pPr>
      <w:r>
        <w:rPr>
          <w:rFonts w:ascii="Malgun Gothic" w:hAnsi="Malgun Gothic" w:eastAsia="Malgun Gothic"/>
          <w:b/>
          <w:color w:val="2E5C8A"/>
          <w:sz w:val="25"/>
        </w:rPr>
        <w:t>2.2 서비스수명주기의 개념과 단계</w:t>
      </w:r>
    </w:p>
    <w:p>
      <w:pPr>
        <w:spacing w:line="372" w:lineRule="auto" w:after="140"/>
        <w:ind w:firstLine="454"/>
        <w:jc w:val="both"/>
      </w:pPr>
      <w:r>
        <w:rPr>
          <w:rFonts w:ascii="Malgun Gothic" w:hAnsi="Malgun Gothic" w:eastAsia="Malgun Gothic"/>
          <w:sz w:val="22"/>
        </w:rPr>
        <w:t>서비스수명주기는 특정 서비스가 시장에 도입되어 이용자가 증가하고, 경쟁과 표준화가 심화된 후 수요가 감소하거나 다른 서비스로 대체되는 과정을 의미한다. 제품수명주기와 마찬가지로 도입기·성장기·성숙기·쇠퇴기의 흐름을 적용할 수 있으나, 서비스의 본질적 특성 때문에 각 단계에서 관리해야 할 대상이 다르다. Wirtz와 Lovelock(2021)은 서비스가 물리적 제품과 달리 무형적이며 고객의 참여가 중요하고, 생산능력과 수요를 시간적으로 일치시키는 관리가 필요함을 강조한다. 따라서 서비스수명주기의 핵심은 재고보유보다는 서비스 제공능력(capacity), 고객경험, 접점 품질, 프로세스 표준화 및 관계유지에 있다.</w:t>
      </w:r>
    </w:p>
    <w:p>
      <w:pPr>
        <w:spacing w:line="372" w:lineRule="auto" w:after="140"/>
        <w:ind w:firstLine="454"/>
        <w:jc w:val="both"/>
      </w:pPr>
      <w:r>
        <w:rPr>
          <w:rFonts w:ascii="Malgun Gothic" w:hAnsi="Malgun Gothic" w:eastAsia="Malgun Gothic"/>
          <w:sz w:val="22"/>
        </w:rPr>
        <w:t>서비스는 제공되지 않은 시간의 생산능력을 재고처럼 저장하기 어렵다는 소멸성을 갖는다. 예를 들어 특정 시간대에 비어 있는 호텔 객실, 이용되지 않은 항공 좌석, 상담센터의 유휴 상담시간은 이후에 다시 판매할 수 없다. 반대로 수요가 특정 시간에 몰리면 대기시간이 길어지고 품질이 저하될 수 있다. 이 때문에 서비스수명주기에서는 단순한 시장수요의 증감뿐 아니라 시간대별 수요분산, 인력배치, 예약과 대기관리, 디지털 셀프서비스 도입 등이 중요한 운영전략이 된다.</w:t>
      </w:r>
    </w:p>
    <w:p>
      <w:pPr>
        <w:spacing w:line="372" w:lineRule="auto" w:after="140"/>
        <w:ind w:firstLine="454"/>
        <w:jc w:val="both"/>
      </w:pPr>
      <w:r>
        <w:rPr>
          <w:rFonts w:ascii="Malgun Gothic" w:hAnsi="Malgun Gothic" w:eastAsia="Malgun Gothic"/>
          <w:b/>
          <w:sz w:val="22"/>
        </w:rPr>
        <w:t>① 도입기</w:t>
      </w:r>
      <w:r>
        <w:rPr>
          <w:rFonts w:ascii="Malgun Gothic" w:hAnsi="Malgun Gothic" w:eastAsia="Malgun Gothic"/>
          <w:sz w:val="22"/>
        </w:rPr>
        <w:t xml:space="preserve"> 새로운 서비스가 시장에 제시되는 시기로, 서비스의 가치를 고객이 이해하도록 만들고 초기 이용자의 불편사항을 빠르게 수정하는 것이 중요하다. 서비스 프로세스가 완전히 표준화되지 않은 경우가 많아 직원교육과 고객지원이 많이 필요하다. 플랫폼 서비스라면 이용자 수가 적어 네트워크 효과가 충분히 나타나지 않을 수 있다.</w:t>
      </w:r>
    </w:p>
    <w:p>
      <w:pPr>
        <w:spacing w:line="372" w:lineRule="auto" w:after="140"/>
        <w:ind w:firstLine="454"/>
        <w:jc w:val="both"/>
      </w:pPr>
      <w:r>
        <w:rPr>
          <w:rFonts w:ascii="Malgun Gothic" w:hAnsi="Malgun Gothic" w:eastAsia="Malgun Gothic"/>
          <w:b/>
          <w:sz w:val="22"/>
        </w:rPr>
        <w:t>② 성장기</w:t>
      </w:r>
      <w:r>
        <w:rPr>
          <w:rFonts w:ascii="Malgun Gothic" w:hAnsi="Malgun Gothic" w:eastAsia="Malgun Gothic"/>
          <w:sz w:val="22"/>
        </w:rPr>
        <w:t xml:space="preserve"> 이용자가 빠르게 증가하면서 서비스 제공능력의 확장이 핵심 과제가 된다. 오프라인 서비스는 지점·좌석·인력 확충이 필요하며, 디지털 서비스는 서버·네트워크·콘텐츠·고객지원 체계를 확장해야 한다. 성장속도를 따라가지 못하면 접속지연, 대기시간 증가, 응대품질 저하가 발생할 수 있으므로 수요예측과 능력계획이 중요하다.</w:t>
      </w:r>
    </w:p>
    <w:p>
      <w:pPr>
        <w:spacing w:line="372" w:lineRule="auto" w:after="140"/>
        <w:ind w:firstLine="454"/>
        <w:jc w:val="both"/>
      </w:pPr>
      <w:r>
        <w:rPr>
          <w:rFonts w:ascii="Malgun Gothic" w:hAnsi="Malgun Gothic" w:eastAsia="Malgun Gothic"/>
          <w:b/>
          <w:sz w:val="22"/>
        </w:rPr>
        <w:t>③ 성숙기</w:t>
      </w:r>
      <w:r>
        <w:rPr>
          <w:rFonts w:ascii="Malgun Gothic" w:hAnsi="Malgun Gothic" w:eastAsia="Malgun Gothic"/>
          <w:sz w:val="22"/>
        </w:rPr>
        <w:t xml:space="preserve"> 시장의 대다수 고객이 서비스를 인지하고 경쟁서비스 간 차별화가 어려워지는 단계이다. 운영의 안정성, 고객유지, 서비스 회복, 개인화, 비용효율성이 중요해진다. 기업은 프로세스를 자동화하고 고객 데이터를 활용하여 이탈을 낮추며, 요금제·혜택·부가서비스 등을 세분화하여 서비스의 가치를 재구성한다.</w:t>
      </w:r>
    </w:p>
    <w:p>
      <w:pPr>
        <w:spacing w:line="372" w:lineRule="auto" w:after="140"/>
        <w:ind w:firstLine="454"/>
        <w:jc w:val="both"/>
      </w:pPr>
      <w:r>
        <w:rPr>
          <w:rFonts w:ascii="Malgun Gothic" w:hAnsi="Malgun Gothic" w:eastAsia="Malgun Gothic"/>
          <w:b/>
          <w:sz w:val="22"/>
        </w:rPr>
        <w:t>④ 쇠퇴기</w:t>
      </w:r>
      <w:r>
        <w:rPr>
          <w:rFonts w:ascii="Malgun Gothic" w:hAnsi="Malgun Gothic" w:eastAsia="Malgun Gothic"/>
          <w:sz w:val="22"/>
        </w:rPr>
        <w:t xml:space="preserve"> 기술 변화나 소비습관의 변화로 이용률과 신규가입이 감소하는 단계이다. 서비스는 유형제품보다 물리적 재고 부담은 작을 수 있지만, 고정된 인력·시설·IT인프라·콘텐츠 계약비 등이 남아 수익성을 압박할 수 있다. 기업은 서비스 통합, 채널 축소, 운영시간 조정, 타 서비스와의 결합 또는 종료계획을 마련해야 한다.</w:t>
      </w:r>
    </w:p>
    <w:p>
      <w:pPr>
        <w:pStyle w:val="Heading2"/>
        <w:keepNext/>
        <w:spacing w:before="160" w:after="140"/>
      </w:pPr>
      <w:r>
        <w:rPr>
          <w:rFonts w:ascii="Malgun Gothic" w:hAnsi="Malgun Gothic" w:eastAsia="Malgun Gothic"/>
          <w:b/>
          <w:color w:val="2E5C8A"/>
          <w:sz w:val="25"/>
        </w:rPr>
        <w:t>서비스수명주기에서 특히 중요한 운영 특성</w:t>
      </w:r>
    </w:p>
    <w:p>
      <w:pPr>
        <w:pStyle w:val="ListBullet"/>
        <w:spacing w:line="348" w:lineRule="auto" w:after="80"/>
        <w:ind w:left="454" w:hanging="198"/>
      </w:pPr>
      <w:r>
        <w:rPr>
          <w:rFonts w:ascii="Malgun Gothic" w:hAnsi="Malgun Gothic" w:eastAsia="Malgun Gothic"/>
          <w:sz w:val="21"/>
        </w:rPr>
        <w:t>무형성: 고객은 구매 전 서비스 품질을 완전히 확인하기 어려워 브랜드, 후기, 직원의 전문성, 물리적 환경 등의 단서를 통해 품질을 판단한다.</w:t>
      </w:r>
    </w:p>
    <w:p>
      <w:pPr>
        <w:pStyle w:val="ListBullet"/>
        <w:spacing w:line="348" w:lineRule="auto" w:after="80"/>
        <w:ind w:left="454" w:hanging="198"/>
      </w:pPr>
      <w:r>
        <w:rPr>
          <w:rFonts w:ascii="Malgun Gothic" w:hAnsi="Malgun Gothic" w:eastAsia="Malgun Gothic"/>
          <w:sz w:val="21"/>
        </w:rPr>
        <w:t>생산과 소비의 동시성: 많은 서비스는 생산되는 순간 소비되므로 고객과 직원의 상호작용이 결과품질에 직접 영향을 준다.</w:t>
      </w:r>
    </w:p>
    <w:p>
      <w:pPr>
        <w:pStyle w:val="ListBullet"/>
        <w:spacing w:line="348" w:lineRule="auto" w:after="80"/>
        <w:ind w:left="454" w:hanging="198"/>
      </w:pPr>
      <w:r>
        <w:rPr>
          <w:rFonts w:ascii="Malgun Gothic" w:hAnsi="Malgun Gothic" w:eastAsia="Malgun Gothic"/>
          <w:sz w:val="21"/>
        </w:rPr>
        <w:t>이질성: 동일한 서비스라도 직원, 시간, 고객상황에 따라 품질이 달라질 수 있어 표준절차와 교육, 데이터 기반 품질관리가 필요하다.</w:t>
      </w:r>
    </w:p>
    <w:p>
      <w:pPr>
        <w:pStyle w:val="ListBullet"/>
        <w:spacing w:line="348" w:lineRule="auto" w:after="80"/>
        <w:ind w:left="454" w:hanging="198"/>
      </w:pPr>
      <w:r>
        <w:rPr>
          <w:rFonts w:ascii="Malgun Gothic" w:hAnsi="Malgun Gothic" w:eastAsia="Malgun Gothic"/>
          <w:sz w:val="21"/>
        </w:rPr>
        <w:t>소멸성: 서비스 제공능력은 재고로 저장하기 어렵기 때문에 가격, 예약, 인력 스케줄링 등으로 수요와 능력을 조정해야 한다.</w:t>
      </w:r>
    </w:p>
    <w:p>
      <w:pPr>
        <w:pStyle w:val="Heading2"/>
        <w:keepNext/>
        <w:spacing w:before="160" w:after="140"/>
      </w:pPr>
      <w:r>
        <w:rPr>
          <w:rFonts w:ascii="Malgun Gothic" w:hAnsi="Malgun Gothic" w:eastAsia="Malgun Gothic"/>
          <w:b/>
          <w:color w:val="2E5C8A"/>
          <w:sz w:val="25"/>
        </w:rPr>
        <w:t>2.3 사례 비교: 스마트폰과 OTT 구독 서비스</w:t>
      </w:r>
    </w:p>
    <w:p>
      <w:pPr>
        <w:spacing w:line="372" w:lineRule="auto" w:after="140"/>
        <w:ind w:firstLine="454"/>
        <w:jc w:val="both"/>
      </w:pPr>
      <w:r>
        <w:rPr>
          <w:rFonts w:ascii="Malgun Gothic" w:hAnsi="Malgun Gothic" w:eastAsia="Malgun Gothic"/>
          <w:sz w:val="22"/>
        </w:rPr>
        <w:t>제품과 서비스의 수명주기 차이를 구체적으로 보기 위해 유형제품인 스마트폰과 디지털 서비스인 OTT 구독 서비스를 비교할 수 있다. 두 시장 모두 신기술과 소비자 선호 변화의 영향을 크게 받지만, 기업이 생산능력을 준비하고 품질을 관리하며 수요변화에 대응하는 방식은 서로 다르다.</w:t>
      </w:r>
    </w:p>
    <w:p>
      <w:pPr>
        <w:pStyle w:val="Heading2"/>
        <w:keepNext/>
        <w:spacing w:before="160" w:after="140"/>
      </w:pPr>
      <w:r>
        <w:rPr>
          <w:rFonts w:ascii="Malgun Gothic" w:hAnsi="Malgun Gothic" w:eastAsia="Malgun Gothic"/>
          <w:b/>
          <w:color w:val="2E5C8A"/>
          <w:sz w:val="25"/>
        </w:rPr>
        <w:t>가. 스마트폰 제품의 수명주기</w:t>
      </w:r>
    </w:p>
    <w:p>
      <w:pPr>
        <w:spacing w:line="372" w:lineRule="auto" w:after="140"/>
        <w:ind w:firstLine="454"/>
        <w:jc w:val="both"/>
      </w:pPr>
      <w:r>
        <w:rPr>
          <w:rFonts w:ascii="Malgun Gothic" w:hAnsi="Malgun Gothic" w:eastAsia="Malgun Gothic"/>
          <w:sz w:val="22"/>
        </w:rPr>
        <w:t>스마트폰은 특정 모델이 출시되면 짧은 기간에 도입기와 성장기를 지나 성숙기에 도달하고, 후속 모델의 출시와 기술 변화에 따라 빠르게 쇠퇴하는 대표적인 내구재이다. 도입기에는 초기 생산수율, 핵심부품 조달, 제품결함 관리가 중요하다. 수요를 과소예측하면 품절과 판매기회를 잃을 수 있고, 과대예측하면 가격인하와 재고평가손실이 발생할 수 있다. 성장기에는 생산량을 빠르게 확대하면서도 디스플레이, 반도체, 카메라모듈 등 주요 부품의 공급안정성을 확보해야 한다.</w:t>
      </w:r>
    </w:p>
    <w:p>
      <w:pPr>
        <w:spacing w:line="372" w:lineRule="auto" w:after="140"/>
        <w:ind w:firstLine="454"/>
        <w:jc w:val="both"/>
      </w:pPr>
      <w:r>
        <w:rPr>
          <w:rFonts w:ascii="Malgun Gothic" w:hAnsi="Malgun Gothic" w:eastAsia="Malgun Gothic"/>
          <w:sz w:val="22"/>
        </w:rPr>
        <w:t>성숙기에는 경쟁제품과의 기능 차이가 줄어들면서 원가, 품질, 납기, 모델 다양성 관리가 중요해진다. 생산라인은 높은 효율성과 안정적 품질을 달성하도록 표준화되며, 기업은 색상·저장용량·가격대 등 제품구성을 세분화한다. 쇠퇴기에는 후속 모델이 수요를 대체하므로 기존 모델 생산량을 축소하고 잔여재고와 서비스용 부품을 관리해야 한다. 스마트폰은 생산과 소비가 분리되어 있으므로 일정 수준의 완제품 재고를 미리 만들어 수요에 대응할 수 있다는 점이 서비스와 가장 큰 차이 중 하나이다.</w:t>
      </w:r>
    </w:p>
    <w:p>
      <w:pPr>
        <w:pStyle w:val="Heading2"/>
        <w:keepNext/>
        <w:spacing w:before="160" w:after="140"/>
      </w:pPr>
      <w:r>
        <w:rPr>
          <w:rFonts w:ascii="Malgun Gothic" w:hAnsi="Malgun Gothic" w:eastAsia="Malgun Gothic"/>
          <w:b/>
          <w:color w:val="2E5C8A"/>
          <w:sz w:val="25"/>
        </w:rPr>
        <w:t>나. OTT 구독 서비스의 수명주기</w:t>
      </w:r>
    </w:p>
    <w:p>
      <w:pPr>
        <w:spacing w:line="372" w:lineRule="auto" w:after="140"/>
        <w:ind w:firstLine="454"/>
        <w:jc w:val="both"/>
      </w:pPr>
      <w:r>
        <w:rPr>
          <w:rFonts w:ascii="Malgun Gothic" w:hAnsi="Malgun Gothic" w:eastAsia="Malgun Gothic"/>
          <w:sz w:val="22"/>
        </w:rPr>
        <w:t>OTT 구독 서비스는 인터넷을 통해 영상콘텐츠를 제공하는 서비스로, 이용자는 물리적 제품을 소유하기보다 일정 기간 접근권과 이용경험을 구매한다. 도입기에는 서비스 안정성과 콘텐츠 확보, 결제 및 회원가입 과정의 편의성, 초기 이용자 확보가 중요하다. 성장기에는 가입자와 동시접속량이 증가하므로 서버와 네트워크 용량, 고객지원, 추천 알고리즘, 콘텐츠 운영체계를 확장해야 한다. 서비스가 저장되지 않는다는 의미는 디지털 콘텐츠 자체가 사라진다는 뜻이 아니라, 특정 시점에 제공 가능한 서비스 능력과 고객접점의 기회가 재고로 보존되지 않는다는 의미에 가깝다.</w:t>
      </w:r>
    </w:p>
    <w:p>
      <w:pPr>
        <w:spacing w:line="372" w:lineRule="auto" w:after="140"/>
        <w:ind w:firstLine="454"/>
        <w:jc w:val="both"/>
      </w:pPr>
      <w:r>
        <w:rPr>
          <w:rFonts w:ascii="Malgun Gothic" w:hAnsi="Malgun Gothic" w:eastAsia="Malgun Gothic"/>
          <w:sz w:val="22"/>
        </w:rPr>
        <w:t>성숙기에는 신규가입자의 증가보다 기존 고객의 유지가 중요해진다. 경쟁서비스가 늘어나면 고객은 가격, 독점콘텐츠, 사용자경험, 광고 여부, 동시접속 가능 수 등을 비교하게 된다. 이에 따라 서비스기업은 요금제를 세분화하고 개인화 기능을 강화하며 고객이탈을 낮추기 위한 운영을 수행한다. 쇠퇴기에는 특정 서비스 브랜드의 이용자가 감소하더라도 물리적 완제품 재고를 처분할 필요는 없지만, 콘텐츠 계약, 데이터센터, 인력, 고객지원 등의 고정비를 조정해야 한다. 또한 서비스는 기능개선과 콘텐츠 변경이 실시간으로 이루어질 수 있어 제품보다 수명주기 재활성화가 빠르게 나타날 수 있다.</w:t>
      </w:r>
    </w:p>
    <w:p>
      <w:pPr>
        <w:pStyle w:val="Heading2"/>
        <w:keepNext/>
        <w:spacing w:before="160" w:after="140"/>
      </w:pPr>
      <w:r>
        <w:rPr>
          <w:rFonts w:ascii="Malgun Gothic" w:hAnsi="Malgun Gothic" w:eastAsia="Malgun Gothic"/>
          <w:b/>
          <w:color w:val="2E5C8A"/>
          <w:sz w:val="25"/>
        </w:rPr>
        <w:t>다. 사례별 단계 비교</w:t>
      </w:r>
    </w:p>
    <w:tbl>
      <w:tblPr>
        <w:tblStyle w:val="TableGrid"/>
        <w:tblW w:type="auto" w:w="0"/>
        <w:jc w:val="center"/>
        <w:tblLook w:firstColumn="1" w:firstRow="1" w:lastColumn="0" w:lastRow="0" w:noHBand="0" w:noVBand="1" w:val="04A0"/>
      </w:tblPr>
      <w:tblGrid>
        <w:gridCol w:w="3135"/>
        <w:gridCol w:w="3135"/>
        <w:gridCol w:w="3135"/>
      </w:tblGrid>
      <w:tr>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단계</w:t>
            </w:r>
          </w:p>
        </w:tc>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스마트폰 제품</w:t>
            </w:r>
          </w:p>
        </w:tc>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OTT 구독 서비스</w:t>
            </w:r>
          </w:p>
        </w:tc>
      </w:tr>
      <w:tr>
        <w:tc>
          <w:tcPr>
            <w:tcW w:type="dxa" w:w="3135"/>
            <w:vAlign w:val="center"/>
            <w:tcMar>
              <w:top w:w="90" w:type="dxa"/>
              <w:start w:w="100" w:type="dxa"/>
              <w:bottom w:w="90" w:type="dxa"/>
              <w:end w:w="100" w:type="dxa"/>
            </w:tcMar>
            <w:shd w:fill="F2F2F2"/>
          </w:tcPr>
          <w:p>
            <w:pPr>
              <w:spacing w:line="300" w:lineRule="auto" w:after="0"/>
              <w:jc w:val="center"/>
            </w:pPr>
            <w:r/>
            <w:r>
              <w:rPr>
                <w:rFonts w:ascii="Malgun Gothic" w:hAnsi="Malgun Gothic" w:eastAsia="Malgun Gothic"/>
                <w:b/>
                <w:sz w:val="18"/>
              </w:rPr>
              <w:t>도입기</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초기 생산수율, 부품조달, 결함관리, 출시물량 결정</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서비스 안정화, 콘텐츠 확보, 초기 이용자 지원</w:t>
            </w:r>
          </w:p>
        </w:tc>
      </w:tr>
      <w:tr>
        <w:tc>
          <w:tcPr>
            <w:tcW w:type="dxa" w:w="3135"/>
            <w:vAlign w:val="center"/>
            <w:tcMar>
              <w:top w:w="90" w:type="dxa"/>
              <w:start w:w="100" w:type="dxa"/>
              <w:bottom w:w="90" w:type="dxa"/>
              <w:end w:w="100" w:type="dxa"/>
            </w:tcMar>
            <w:shd w:fill="F2F2F2"/>
          </w:tcPr>
          <w:p>
            <w:pPr>
              <w:spacing w:line="300" w:lineRule="auto" w:after="0"/>
              <w:jc w:val="center"/>
            </w:pPr>
            <w:r/>
            <w:r>
              <w:rPr>
                <w:rFonts w:ascii="Malgun Gothic" w:hAnsi="Malgun Gothic" w:eastAsia="Malgun Gothic"/>
                <w:b/>
                <w:sz w:val="18"/>
              </w:rPr>
              <w:t>성장기</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설비·생산량 확대, 공급망 안정, 표준화</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서버·네트워크·고객지원 확장, 동시접속 대응</w:t>
            </w:r>
          </w:p>
        </w:tc>
      </w:tr>
      <w:tr>
        <w:tc>
          <w:tcPr>
            <w:tcW w:type="dxa" w:w="3135"/>
            <w:vAlign w:val="center"/>
            <w:tcMar>
              <w:top w:w="90" w:type="dxa"/>
              <w:start w:w="100" w:type="dxa"/>
              <w:bottom w:w="90" w:type="dxa"/>
              <w:end w:w="100" w:type="dxa"/>
            </w:tcMar>
            <w:shd w:fill="F2F2F2"/>
          </w:tcPr>
          <w:p>
            <w:pPr>
              <w:spacing w:line="300" w:lineRule="auto" w:after="0"/>
              <w:jc w:val="center"/>
            </w:pPr>
            <w:r/>
            <w:r>
              <w:rPr>
                <w:rFonts w:ascii="Malgun Gothic" w:hAnsi="Malgun Gothic" w:eastAsia="Malgun Gothic"/>
                <w:b/>
                <w:sz w:val="18"/>
              </w:rPr>
              <w:t>성숙기</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원가절감, 품질안정, 모델 다양성 및 재고회전 관리</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고객유지, 개인화, 요금제 세분화, 운영자동화</w:t>
            </w:r>
          </w:p>
        </w:tc>
      </w:tr>
      <w:tr>
        <w:tc>
          <w:tcPr>
            <w:tcW w:type="dxa" w:w="3135"/>
            <w:vAlign w:val="center"/>
            <w:tcMar>
              <w:top w:w="90" w:type="dxa"/>
              <w:start w:w="100" w:type="dxa"/>
              <w:bottom w:w="90" w:type="dxa"/>
              <w:end w:w="100" w:type="dxa"/>
            </w:tcMar>
            <w:shd w:fill="F2F2F2"/>
          </w:tcPr>
          <w:p>
            <w:pPr>
              <w:spacing w:line="300" w:lineRule="auto" w:after="0"/>
              <w:jc w:val="center"/>
            </w:pPr>
            <w:r/>
            <w:r>
              <w:rPr>
                <w:rFonts w:ascii="Malgun Gothic" w:hAnsi="Malgun Gothic" w:eastAsia="Malgun Gothic"/>
                <w:b/>
                <w:sz w:val="18"/>
              </w:rPr>
              <w:t>쇠퇴기</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생산축소, 잔여재고 처분, 후속모델 전환</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8"/>
              </w:rPr>
              <w:t>서비스 통합·축소, 고정비 조정, 고객의 타 서비스 이전 대응</w:t>
            </w:r>
          </w:p>
        </w:tc>
      </w:tr>
    </w:tbl>
    <w:p>
      <w:pPr>
        <w:pStyle w:val="Heading2"/>
        <w:keepNext/>
        <w:spacing w:before="160" w:after="140"/>
      </w:pPr>
      <w:r>
        <w:rPr>
          <w:rFonts w:ascii="Malgun Gothic" w:hAnsi="Malgun Gothic" w:eastAsia="Malgun Gothic"/>
          <w:b/>
          <w:color w:val="2E5C8A"/>
          <w:sz w:val="25"/>
        </w:rPr>
        <w:t>2.4 제품수명주기와 서비스수명주기의 차이</w:t>
      </w:r>
    </w:p>
    <w:p>
      <w:pPr>
        <w:spacing w:line="372" w:lineRule="auto" w:after="140"/>
        <w:ind w:firstLine="454"/>
        <w:jc w:val="both"/>
      </w:pPr>
      <w:r>
        <w:rPr>
          <w:rFonts w:ascii="Malgun Gothic" w:hAnsi="Malgun Gothic" w:eastAsia="Malgun Gothic"/>
          <w:sz w:val="22"/>
        </w:rPr>
        <w:t>제품과 서비스 모두 도입·성장·성숙·쇠퇴의 흐름으로 설명할 수 있지만, 실제 운영의 대상과 위험요인은 다르다. 제품수명주기는 물리적 산출물의 생산과 재고, 공급망, 설비, 제품설계가 중심인 반면, 서비스수명주기는 고객이 경험하는 과정과 제공능력, 인력, 접점품질, 수요의 시간적 변동이 중심이 된다. 이러한 차이는 다음과 같이 정리할 수 있다.</w:t>
      </w:r>
    </w:p>
    <w:tbl>
      <w:tblPr>
        <w:tblStyle w:val="TableGrid"/>
        <w:tblW w:type="auto" w:w="0"/>
        <w:jc w:val="center"/>
        <w:tblLook w:firstColumn="1" w:firstRow="1" w:lastColumn="0" w:lastRow="0" w:noHBand="0" w:noVBand="1" w:val="04A0"/>
      </w:tblPr>
      <w:tblGrid>
        <w:gridCol w:w="3135"/>
        <w:gridCol w:w="3135"/>
        <w:gridCol w:w="3135"/>
      </w:tblGrid>
      <w:tr>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비교 기준</w:t>
            </w:r>
          </w:p>
        </w:tc>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제품수명주기</w:t>
            </w:r>
          </w:p>
        </w:tc>
        <w:tc>
          <w:tcPr>
            <w:tcW w:type="dxa" w:w="3135"/>
            <w:vAlign w:val="center"/>
            <w:tcMar>
              <w:top w:w="90" w:type="dxa"/>
              <w:start w:w="100" w:type="dxa"/>
              <w:bottom w:w="90" w:type="dxa"/>
              <w:end w:w="100" w:type="dxa"/>
            </w:tcMar>
            <w:shd w:fill="D9EAF7"/>
          </w:tcPr>
          <w:p>
            <w:pPr>
              <w:spacing w:line="300" w:lineRule="auto" w:after="0"/>
              <w:jc w:val="center"/>
            </w:pPr>
            <w:r/>
            <w:r>
              <w:rPr>
                <w:rFonts w:ascii="Malgun Gothic" w:hAnsi="Malgun Gothic" w:eastAsia="Malgun Gothic"/>
                <w:b/>
                <w:sz w:val="19"/>
              </w:rPr>
              <w:t>서비스수명주기</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산출물의 성격</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유형의 물리적 제품이 중심이며 규격·성능·디자인을 비교하기 쉽다.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무형의 경험과 과정이 중심이며 구매 전 품질평가가 상대적으로 어렵다.</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생산과 소비</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생산 후 보관·운송하여 나중에 소비할 수 있다.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생산과 소비가 동시에 일어나는 경우가 많아 고객 접점이 중요하다.</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재고관리</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완제품·원재료·부품 재고를 활용하여 수요변동을 흡수할 수 있다.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제공되지 않은 서비스 능력을 저장하기 어렵기 때문에 대기·예약·가격으로 수요를 조절한다.</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생산능력 확대</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설비·라인·자동화 투자와 공급망 증설이 중요하다.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인력, 좌석, 지점, 서버, 상담채널 등 제공능력의 탄력적 확대가 중요하다.</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품질관리</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규격, 불량률, 공정능력 등 비교적 객관적인 기준을 사용하기 쉽다.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고객경험과 직원행동에 따라 편차가 커 표준화와 서비스 회복이 중요하다.</w:t>
            </w:r>
          </w:p>
        </w:tc>
      </w:tr>
      <w:tr>
        <w:tc>
          <w:tcPr>
            <w:tcW w:type="dxa" w:w="3135"/>
            <w:vAlign w:val="center"/>
            <w:tcMar>
              <w:top w:w="90" w:type="dxa"/>
              <w:start w:w="100" w:type="dxa"/>
              <w:bottom w:w="90" w:type="dxa"/>
              <w:end w:w="100" w:type="dxa"/>
            </w:tcMar>
            <w:shd w:fill="F2F2F2"/>
          </w:tcPr>
          <w:p>
            <w:pPr>
              <w:spacing w:line="300" w:lineRule="auto" w:after="0"/>
              <w:jc w:val="left"/>
            </w:pPr>
            <w:r/>
            <w:r>
              <w:rPr>
                <w:rFonts w:ascii="Malgun Gothic" w:hAnsi="Malgun Gothic" w:eastAsia="Malgun Gothic"/>
                <w:b/>
                <w:sz w:val="17"/>
              </w:rPr>
              <w:t>쇠퇴기 대응</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생산중단, 재고처분, 부품지원, 설비전환 문제가 발생한다.</w:t>
            </w:r>
          </w:p>
        </w:tc>
        <w:tc>
          <w:tcPr>
            <w:tcW w:type="dxa" w:w="3135"/>
            <w:vAlign w:val="center"/>
            <w:tcMar>
              <w:top w:w="90" w:type="dxa"/>
              <w:start w:w="100" w:type="dxa"/>
              <w:bottom w:w="90" w:type="dxa"/>
              <w:end w:w="100" w:type="dxa"/>
            </w:tcMar>
          </w:tcPr>
          <w:p>
            <w:pPr>
              <w:spacing w:line="300" w:lineRule="auto" w:after="0"/>
              <w:jc w:val="left"/>
            </w:pPr>
            <w:r/>
            <w:r>
              <w:rPr>
                <w:rFonts w:ascii="Malgun Gothic" w:hAnsi="Malgun Gothic" w:eastAsia="Malgun Gothic"/>
                <w:b w:val="0"/>
                <w:sz w:val="17"/>
              </w:rPr>
              <w:t>서비스 통합·종료, 인력 및 계약 조정, 고객이전과 관계관리 문제가 커진다.</w:t>
            </w:r>
          </w:p>
        </w:tc>
      </w:tr>
    </w:tbl>
    <w:p>
      <w:pPr>
        <w:pStyle w:val="Heading2"/>
        <w:keepNext/>
        <w:spacing w:before="160" w:after="140"/>
      </w:pPr>
      <w:r>
        <w:rPr>
          <w:rFonts w:ascii="Malgun Gothic" w:hAnsi="Malgun Gothic" w:eastAsia="Malgun Gothic"/>
          <w:b/>
          <w:color w:val="2E5C8A"/>
          <w:sz w:val="25"/>
        </w:rPr>
        <w:t>2.5 생산관리적 시사점</w:t>
      </w:r>
    </w:p>
    <w:p>
      <w:pPr>
        <w:spacing w:line="372" w:lineRule="auto" w:after="140"/>
        <w:ind w:firstLine="454"/>
        <w:jc w:val="both"/>
      </w:pPr>
      <w:r>
        <w:rPr>
          <w:rFonts w:ascii="Malgun Gothic" w:hAnsi="Malgun Gothic" w:eastAsia="Malgun Gothic"/>
          <w:sz w:val="22"/>
        </w:rPr>
        <w:t>첫째, 수요예측의 목적이 다르다. 제조기업은 예측을 바탕으로 원자재 구매와 생산계획, 안전재고를 결정한다. 반면 서비스기업은 특정 일·시간대에 필요한 인력과 공간, 시스템 용량을 예측하는 것이 더 중요하다. 따라서 같은 “성장기”라 하더라도 제품기업은 생산량 확대와 재고배치가 핵심이고, 서비스기업은 대기시간과 이용편의성을 악화시키지 않도록 제공능력을 확충하는 것이 핵심이 된다.</w:t>
      </w:r>
    </w:p>
    <w:p>
      <w:pPr>
        <w:spacing w:line="372" w:lineRule="auto" w:after="140"/>
        <w:ind w:firstLine="454"/>
        <w:jc w:val="both"/>
      </w:pPr>
      <w:r>
        <w:rPr>
          <w:rFonts w:ascii="Malgun Gothic" w:hAnsi="Malgun Gothic" w:eastAsia="Malgun Gothic"/>
          <w:sz w:val="22"/>
        </w:rPr>
        <w:t>둘째, 품질관리 방식이 다르다. 제품은 공장에서 출하되기 전에 검사하고 불량품을 격리하거나 재작업할 수 있다. 그러나 서비스는 고객 앞에서 제공되는 순간 품질이 형성되는 경우가 많아 사후검사만으로는 문제를 해결하기 어렵다. 서비스기업은 직원교육, 표준작업절차, 자동화, 고객피드백, 서비스 회복절차를 수명주기 전반에 걸쳐 관리해야 한다.</w:t>
      </w:r>
    </w:p>
    <w:p>
      <w:pPr>
        <w:spacing w:line="372" w:lineRule="auto" w:after="140"/>
        <w:ind w:firstLine="454"/>
        <w:jc w:val="both"/>
      </w:pPr>
      <w:r>
        <w:rPr>
          <w:rFonts w:ascii="Malgun Gothic" w:hAnsi="Malgun Gothic" w:eastAsia="Malgun Gothic"/>
          <w:sz w:val="22"/>
        </w:rPr>
        <w:t>셋째, 수명주기 연장 전략에도 차이가 있다. 제품은 디자인 변경, 기능개선, 패키지 변경, 새로운 용도 개발 등을 통해 성숙기를 연장할 수 있다. 서비스는 접점 프로세스 변경, 요금제 재설계, 채널 추가, 개인화, 다른 서비스와의 결합 등을 통해 고객가치를 재정의할 수 있다. 디지털 서비스는 소프트웨어 업데이트를 통해 비교적 빠르게 서비스 내용을 변경할 수 있어, 물리적 설비와 재고를 가진 제품보다 변화의 속도가 빠른 경우가 많다.</w:t>
      </w:r>
    </w:p>
    <w:p>
      <w:pPr>
        <w:spacing w:line="372" w:lineRule="auto" w:after="140"/>
        <w:ind w:firstLine="454"/>
        <w:jc w:val="both"/>
      </w:pPr>
      <w:r>
        <w:rPr>
          <w:rFonts w:ascii="Malgun Gothic" w:hAnsi="Malgun Gothic" w:eastAsia="Malgun Gothic"/>
          <w:sz w:val="22"/>
        </w:rPr>
        <w:t>넷째, 쇠퇴기의 종료전략을 사전에 준비해야 한다. 제품의 경우 재고와 부품, A/S 의무, 설비 잔존가치가 문제이며, 서비스의 경우 기존 고객의 데이터·계약·환불·이전과 같은 관계적 문제가 중요하다. 따라서 생산관리자는 매출만 보고 수명주기를 판단하기보다, 생산능력 이용률, 재고회전, 불량률, 대기시간, 고객이탈률, 유지비용 등 운영지표를 함께 살펴 단계별 의사결정을 수행할 필요가 있다.</w:t>
      </w:r>
    </w:p>
    <w:p>
      <w:pPr>
        <w:pStyle w:val="Heading1"/>
        <w:keepNext/>
        <w:spacing w:before="240" w:after="140"/>
      </w:pPr>
      <w:r>
        <w:rPr>
          <w:rFonts w:ascii="Malgun Gothic" w:hAnsi="Malgun Gothic" w:eastAsia="Malgun Gothic"/>
          <w:b/>
          <w:color w:val="204E79"/>
          <w:sz w:val="30"/>
        </w:rPr>
        <w:t>3. 결론</w:t>
      </w:r>
    </w:p>
    <w:p>
      <w:pPr>
        <w:spacing w:line="372" w:lineRule="auto" w:after="140"/>
        <w:ind w:firstLine="454"/>
        <w:jc w:val="both"/>
      </w:pPr>
      <w:r>
        <w:rPr>
          <w:rFonts w:ascii="Malgun Gothic" w:hAnsi="Malgun Gothic" w:eastAsia="Malgun Gothic"/>
          <w:sz w:val="22"/>
        </w:rPr>
        <w:t>제품수명주기와 서비스수명주기는 모두 시장에서 제공되는 가치가 도입, 성장, 성숙, 쇠퇴의 과정을 경험한다는 공통점을 가진다. 따라서 기업은 현재의 수명주기 단계를 파악하고 그 단계에 적합한 운영전략을 선택해야 한다. 도입기에는 불확실성에 대응할 수 있는 유연성이, 성장기에는 생산능력 또는 서비스 제공능력의 확장이, 성숙기에는 효율성과 차별화가, 쇠퇴기에는 축소와 전환을 위한 계획이 중요하다.</w:t>
      </w:r>
    </w:p>
    <w:p>
      <w:pPr>
        <w:spacing w:line="372" w:lineRule="auto" w:after="140"/>
        <w:ind w:firstLine="454"/>
        <w:jc w:val="both"/>
      </w:pPr>
      <w:r>
        <w:rPr>
          <w:rFonts w:ascii="Malgun Gothic" w:hAnsi="Malgun Gothic" w:eastAsia="Malgun Gothic"/>
          <w:sz w:val="22"/>
        </w:rPr>
        <w:t>그러나 제품과 서비스의 본질적 특성이 다르기 때문에 실제 생산관리의 초점에는 뚜렷한 차이가 있다. 제품은 유형성이 있고 생산과 소비가 분리되어 재고를 통해 수요변동에 대응할 수 있으며, 설비와 공급망, 재고관리의 비중이 크다. 반면 서비스는 무형성과 동시성, 이질성, 소멸성으로 인해 저장이 어렵고 고객의 참여가 크므로 인력, 대기시간, 예약, 고객접점, 서비스 회복, 수요와 능력의 동기화가 중요한 관리과제가 된다.</w:t>
      </w:r>
    </w:p>
    <w:p>
      <w:pPr>
        <w:spacing w:line="372" w:lineRule="auto" w:after="140"/>
        <w:ind w:firstLine="454"/>
        <w:jc w:val="both"/>
      </w:pPr>
      <w:r>
        <w:rPr>
          <w:rFonts w:ascii="Malgun Gothic" w:hAnsi="Malgun Gothic" w:eastAsia="Malgun Gothic"/>
          <w:sz w:val="22"/>
        </w:rPr>
        <w:t>스마트폰과 OTT 구독 서비스의 사례에서도 이러한 차이를 확인할 수 있다. 스마트폰의 성장기에는 부품수급과 생산라인 증설이 핵심이지만, OTT 서비스의 성장기에는 서버와 네트워크, 콘텐츠 운영, 고객지원의 확장이 더 중요하다. 쇠퇴기에도 스마트폰은 잔여재고와 부품지원 문제가 나타나는 반면 OTT 서비스는 고객의 이탈관리와 계약, 인프라 비용 조정이 더 중요한 과제가 된다.</w:t>
      </w:r>
    </w:p>
    <w:p>
      <w:pPr>
        <w:spacing w:line="372" w:lineRule="auto" w:after="140"/>
        <w:ind w:firstLine="454"/>
        <w:jc w:val="both"/>
      </w:pPr>
      <w:r>
        <w:rPr>
          <w:rFonts w:ascii="Malgun Gothic" w:hAnsi="Malgun Gothic" w:eastAsia="Malgun Gothic"/>
          <w:sz w:val="22"/>
        </w:rPr>
        <w:t>결국 수명주기 개념의 의의는 모든 제품과 서비스가 동일한 곡선을 따른다는 데 있는 것이 아니라, 수요와 경쟁이 시간에 따라 변한다는 사실을 전제로 운영시스템도 함께 변화해야 한다는 점을 보여주는 데 있다. 생산관리자는 제품인지 서비스인지에 따라 관리대상을 구분하고, 단계별 수요특성에 맞추어 설비·인력·품질·재고·프로세스 전략을 조정해야 한다. 특히 최근에는 제품에 서비스가 결합되고 서비스가 디지털 플랫폼과 물리적 설비를 함께 사용하는 경우가 많기 때문에, 제품수명주기와 서비스수명주기를 분리된 개념으로만 보기보다 상호 연계된 운영전략의 관점에서 이해하는 것이 바람직하다.</w:t>
      </w:r>
    </w:p>
    <w:p>
      <w:pPr>
        <w:pStyle w:val="Heading1"/>
        <w:keepNext/>
        <w:spacing w:before="240" w:after="140"/>
      </w:pPr>
      <w:r>
        <w:rPr>
          <w:rFonts w:ascii="Malgun Gothic" w:hAnsi="Malgun Gothic" w:eastAsia="Malgun Gothic"/>
          <w:b/>
          <w:color w:val="204E79"/>
          <w:sz w:val="30"/>
        </w:rPr>
        <w:t>4. 참고문헌</w:t>
      </w:r>
    </w:p>
    <w:p>
      <w:pPr>
        <w:spacing w:line="324" w:lineRule="auto" w:after="100"/>
        <w:ind w:left="454" w:hanging="454"/>
      </w:pPr>
      <w:r>
        <w:rPr>
          <w:rFonts w:ascii="Malgun Gothic" w:hAnsi="Malgun Gothic" w:eastAsia="Malgun Gothic"/>
          <w:sz w:val="20"/>
        </w:rPr>
        <w:t>Heizer, J., Render, B., &amp; Munson, C. (2023). Operations Management: Sustainability and Supply Chain Management (14th ed.). Pearson.</w:t>
      </w:r>
    </w:p>
    <w:p>
      <w:pPr>
        <w:spacing w:line="324" w:lineRule="auto" w:after="100"/>
        <w:ind w:left="454" w:hanging="454"/>
      </w:pPr>
      <w:r>
        <w:rPr>
          <w:rFonts w:ascii="Malgun Gothic" w:hAnsi="Malgun Gothic" w:eastAsia="Malgun Gothic"/>
          <w:sz w:val="20"/>
        </w:rPr>
        <w:t>Levitt, T. (1965). Exploit the product life cycle. Harvard Business Review, 43(6), 81-94.</w:t>
      </w:r>
    </w:p>
    <w:p>
      <w:pPr>
        <w:spacing w:line="324" w:lineRule="auto" w:after="100"/>
        <w:ind w:left="454" w:hanging="454"/>
      </w:pPr>
      <w:r>
        <w:rPr>
          <w:rFonts w:ascii="Malgun Gothic" w:hAnsi="Malgun Gothic" w:eastAsia="Malgun Gothic"/>
          <w:sz w:val="20"/>
        </w:rPr>
        <w:t>OpenStax. (2023). Principles of Marketing. Rice University. (Chapter 9.3: The Product Life Cycle).</w:t>
      </w:r>
    </w:p>
    <w:p>
      <w:pPr>
        <w:spacing w:line="324" w:lineRule="auto" w:after="100"/>
        <w:ind w:left="454" w:hanging="454"/>
      </w:pPr>
      <w:r>
        <w:rPr>
          <w:rFonts w:ascii="Malgun Gothic" w:hAnsi="Malgun Gothic" w:eastAsia="Malgun Gothic"/>
          <w:sz w:val="20"/>
        </w:rPr>
        <w:t>Wirtz, J., &amp; Lovelock, C. (2021). Services Marketing: People, Technology, Strategy (9th ed.). World Scientific.</w:t>
      </w:r>
    </w:p>
    <w:p>
      <w:pPr>
        <w:spacing w:line="324" w:lineRule="auto" w:after="100"/>
        <w:ind w:left="454" w:hanging="454"/>
      </w:pPr>
      <w:r>
        <w:rPr>
          <w:rFonts w:ascii="Malgun Gothic" w:hAnsi="Malgun Gothic" w:eastAsia="Malgun Gothic"/>
          <w:sz w:val="20"/>
        </w:rPr>
        <w:t>Fitzsimmons, J. A., Fitzsimmons, M. J., &amp; Bordoloi, S. K. (2014). Service Management: Operations, Strategy, Information Technology (8th ed.). McGraw-Hill Education.</w:t>
      </w:r>
    </w:p>
    <w:p>
      <w:pPr>
        <w:spacing w:before="200"/>
        <w:ind w:left="340"/>
      </w:pPr>
      <w:r>
        <w:rPr>
          <w:rFonts w:ascii="Malgun Gothic" w:hAnsi="Malgun Gothic" w:eastAsia="Malgun Gothic"/>
          <w:color w:val="5A5A5A"/>
          <w:sz w:val="18"/>
        </w:rPr>
        <w:t>※ 참고문헌의 서지사항은 과제 제출 전 수강기관의 인용양식과 교재 표기에 맞추어 최종 확인하는 것이 바람직하다.</w:t>
      </w:r>
    </w:p>
    <w:p>
      <w:r>
        <w:br w:type="page"/>
      </w:r>
    </w:p>
    <w:p>
      <w:pPr>
        <w:spacing w:before="480"/>
        <w:jc w:val="center"/>
      </w:pPr>
      <w:r>
        <w:rPr>
          <w:rFonts w:ascii="Malgun Gothic" w:hAnsi="Malgun Gothic" w:eastAsia="Malgun Gothic"/>
          <w:b/>
          <w:color w:val="204E79"/>
          <w:sz w:val="40"/>
        </w:rPr>
        <w:t>과제 참고용 샘플 안내</w:t>
      </w:r>
    </w:p>
    <w:tbl>
      <w:tblPr>
        <w:tblW w:type="auto" w:w="0"/>
        <w:jc w:val="center"/>
        <w:tblLayout w:type="fixed"/>
        <w:tblLook w:firstColumn="1" w:firstRow="1" w:lastColumn="0" w:lastRow="0" w:noHBand="0" w:noVBand="1" w:val="04A0"/>
      </w:tblPr>
      <w:tblGrid>
        <w:gridCol w:w="9406"/>
      </w:tblGrid>
      <w:tr>
        <w:tc>
          <w:tcPr>
            <w:tcW w:type="dxa" w:w="8787"/>
            <w:shd w:fill="F5F7FA"/>
            <w:tcMar>
              <w:top w:w="260" w:type="dxa"/>
              <w:start w:w="300" w:type="dxa"/>
              <w:bottom w:w="260" w:type="dxa"/>
              <w:end w:w="300" w:type="dxa"/>
            </w:tcMar>
          </w:tcPr>
          <w:p>
            <w:r/>
          </w:p>
          <w:p>
            <w:pPr>
              <w:spacing w:after="200"/>
            </w:pPr>
            <w:r>
              <w:rPr>
                <w:rFonts w:ascii="Malgun Gothic" w:hAnsi="Malgun Gothic" w:eastAsia="Malgun Gothic"/>
                <w:b/>
                <w:color w:val="9B4632"/>
                <w:sz w:val="28"/>
              </w:rPr>
              <w:t>⚠️ 주의사항</w:t>
            </w:r>
          </w:p>
          <w:p>
            <w:pPr>
              <w:spacing w:line="348" w:lineRule="auto" w:after="60"/>
            </w:pPr>
            <w:r>
              <w:rPr>
                <w:rFonts w:ascii="Malgun Gothic" w:hAnsi="Malgun Gothic" w:eastAsia="Malgun Gothic"/>
                <w:b w:val="0"/>
                <w:sz w:val="22"/>
              </w:rPr>
              <w:t>본 자료는 학점은행제 과제 참고용 샘플입니다.</w:t>
            </w:r>
          </w:p>
          <w:p>
            <w:pPr>
              <w:spacing w:line="348" w:lineRule="auto" w:after="60"/>
            </w:pPr>
            <w:r>
              <w:rPr>
                <w:rFonts w:ascii="Malgun Gothic" w:hAnsi="Malgun Gothic" w:eastAsia="Malgun Gothic"/>
                <w:b w:val="0"/>
                <w:sz w:val="22"/>
              </w:rPr>
              <w:t>위 학습 자료를 그대로 제출할 경우 모사율(표절률)로 인하여</w:t>
            </w:r>
          </w:p>
          <w:p>
            <w:pPr>
              <w:spacing w:line="348" w:lineRule="auto" w:after="60"/>
            </w:pPr>
            <w:r>
              <w:rPr>
                <w:rFonts w:ascii="Malgun Gothic" w:hAnsi="Malgun Gothic" w:eastAsia="Malgun Gothic"/>
                <w:b w:val="0"/>
                <w:sz w:val="22"/>
              </w:rPr>
              <w:t>성적 불이익 또는 해당 과목 0점 처리될 수 있습니다.</w:t>
            </w:r>
          </w:p>
          <w:p>
            <w:pPr>
              <w:spacing w:line="348" w:lineRule="auto" w:after="60"/>
            </w:pPr>
            <w:r>
              <w:rPr>
                <w:rFonts w:ascii="Malgun Gothic" w:hAnsi="Malgun Gothic" w:eastAsia="Malgun Gothic"/>
                <w:b/>
                <w:sz w:val="22"/>
              </w:rPr>
              <w:t>반드시 본인의 언어로 수정·재작성하여 제출하시기 바랍니다.</w:t>
            </w:r>
          </w:p>
          <w:p>
            <w:pPr>
              <w:spacing w:before="360" w:after="160"/>
            </w:pPr>
            <w:r>
              <w:rPr>
                <w:rFonts w:ascii="Malgun Gothic" w:hAnsi="Malgun Gothic" w:eastAsia="Malgun Gothic"/>
                <w:b/>
                <w:color w:val="204E79"/>
                <w:sz w:val="27"/>
              </w:rPr>
              <w:t>📌 과제 수정이 어려우신가요?</w:t>
            </w:r>
          </w:p>
          <w:p>
            <w:pPr>
              <w:spacing w:line="336" w:lineRule="auto" w:after="60"/>
            </w:pPr>
            <w:r>
              <w:rPr>
                <w:rFonts w:ascii="Malgun Gothic" w:hAnsi="Malgun Gothic" w:eastAsia="Malgun Gothic"/>
                <w:sz w:val="22"/>
              </w:rPr>
              <w:t>국민원격교육관리센터에서 1:1 과제 수정 도움을 드립니다.</w:t>
            </w:r>
          </w:p>
          <w:p>
            <w:pPr>
              <w:spacing w:line="336" w:lineRule="auto" w:after="60"/>
            </w:pPr>
            <w:r>
              <w:rPr>
                <w:rFonts w:ascii="Malgun Gothic" w:hAnsi="Malgun Gothic" w:eastAsia="Malgun Gothic"/>
                <w:sz w:val="22"/>
              </w:rPr>
              <w:t>아래 연락처로 문의해 주세요.</w:t>
            </w:r>
          </w:p>
          <w:p>
            <w:pPr>
              <w:spacing w:after="100"/>
              <w:ind w:left="170"/>
            </w:pPr>
            <w:r>
              <w:rPr>
                <w:rFonts w:ascii="Malgun Gothic" w:hAnsi="Malgun Gothic" w:eastAsia="Malgun Gothic"/>
                <w:b/>
                <w:sz w:val="22"/>
              </w:rPr>
              <w:t>📞 전화: 050-7878-7044</w:t>
            </w:r>
          </w:p>
          <w:p>
            <w:pPr>
              <w:spacing w:after="100"/>
              <w:ind w:left="170"/>
            </w:pPr>
            <w:r>
              <w:rPr>
                <w:rFonts w:ascii="Malgun Gothic" w:hAnsi="Malgun Gothic" w:eastAsia="Malgun Gothic"/>
                <w:b/>
                <w:sz w:val="22"/>
              </w:rPr>
              <w:t>💬 카카오톡: @국민원격교육관리센터</w:t>
            </w:r>
          </w:p>
          <w:p>
            <w:pPr>
              <w:spacing w:after="100"/>
              <w:ind w:left="170"/>
            </w:pPr>
            <w:r>
              <w:drawing>
                <wp:inline xmlns:a="http://schemas.openxmlformats.org/drawingml/2006/main" xmlns:pic="http://schemas.openxmlformats.org/drawingml/2006/picture">
                  <wp:extent cx="162000" cy="162000"/>
                  <wp:docPr id="1" name="Picture 1"/>
                  <wp:cNvGraphicFramePr>
                    <a:graphicFrameLocks noChangeAspect="1"/>
                  </wp:cNvGraphicFramePr>
                  <a:graphic>
                    <a:graphicData uri="http://schemas.openxmlformats.org/drawingml/2006/picture">
                      <pic:pic>
                        <pic:nvPicPr>
                          <pic:cNvPr id="0" name="clock_emoji.png"/>
                          <pic:cNvPicPr/>
                        </pic:nvPicPr>
                        <pic:blipFill>
                          <a:blip r:embed="rId10"/>
                          <a:stretch>
                            <a:fillRect/>
                          </a:stretch>
                        </pic:blipFill>
                        <pic:spPr>
                          <a:xfrm>
                            <a:off x="0" y="0"/>
                            <a:ext cx="162000" cy="162000"/>
                          </a:xfrm>
                          <a:prstGeom prst="rect"/>
                        </pic:spPr>
                      </pic:pic>
                    </a:graphicData>
                  </a:graphic>
                </wp:inline>
              </w:drawing>
            </w:r>
            <w:r>
              <w:rPr>
                <w:rFonts w:ascii="Malgun Gothic" w:hAnsi="Malgun Gothic" w:eastAsia="Malgun Gothic"/>
                <w:sz w:val="22"/>
              </w:rPr>
              <w:t xml:space="preserve"> 운영시간: 평일 10:00–19:00</w:t>
            </w:r>
          </w:p>
          <w:p>
            <w:pPr>
              <w:spacing w:after="100"/>
              <w:ind w:left="170"/>
            </w:pPr>
            <w:r>
              <w:rPr>
                <w:rFonts w:ascii="Malgun Gothic" w:hAnsi="Malgun Gothic" w:eastAsia="Malgun Gothic"/>
                <w:b w:val="0"/>
                <w:sz w:val="22"/>
              </w:rPr>
              <w:t>🌐 웹사이트: korealms.co.kr</w:t>
            </w:r>
          </w:p>
        </w:tc>
      </w:tr>
    </w:tbl>
    <w:p>
      <w:pPr>
        <w:spacing w:before="360"/>
        <w:jc w:val="center"/>
      </w:pPr>
      <w:r>
        <w:rPr>
          <w:rFonts w:ascii="Malgun Gothic" w:hAnsi="Malgun Gothic" w:eastAsia="Malgun Gothic"/>
          <w:color w:val="6E6E6E"/>
          <w:sz w:val="19"/>
        </w:rPr>
        <w:t>본 샘플은 과제의 구조와 논리 전개 방식을 참고하기 위한 자료입니다.</w:t>
      </w:r>
    </w:p>
    <w:sectPr w:rsidR="00FC693F" w:rsidRPr="0006063C" w:rsidSect="00034616">
      <w:footerReference w:type="default" r:id="rId9"/>
      <w:pgSz w:w="12240" w:h="15840"/>
      <w:pgMar w:top="1361" w:right="1417" w:bottom="1247" w:left="141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color w:val="787878"/>
        <w:sz w:val="17"/>
      </w:rPr>
      <w:t xml:space="preserve">생산관리 과제 참고용 샘플  |  </w:t>
    </w:r>
    <w:r>
      <w:rPr>
        <w:rFonts w:ascii="Malgun Gothic" w:hAnsi="Malgun Gothic" w:eastAsia="Malgun Gothic"/>
        <w:color w:val="6E6E6E"/>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