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사회복지조사론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신뢰도와 타당도를 비교하여 설명하시오.</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신뢰도의 개념과 유형 ··························· 2</w:t>
      </w:r>
    </w:p>
    <w:p>
      <w:pPr>
        <w:spacing w:after="80"/>
        <w:ind w:left="1152" w:right="1152"/>
      </w:pPr>
      <w:r>
        <w:rPr>
          <w:rFonts w:ascii="Malgun Gothic" w:hAnsi="Malgun Gothic" w:eastAsia="Malgun Gothic"/>
          <w:b w:val="0"/>
          <w:color w:val="232323"/>
          <w:sz w:val="21"/>
        </w:rPr>
        <w:t>Ⅲ. 타당도의 개념과 유형 ··························· 3</w:t>
      </w:r>
    </w:p>
    <w:p>
      <w:pPr>
        <w:spacing w:after="80"/>
        <w:ind w:left="1152" w:right="1152"/>
      </w:pPr>
      <w:r>
        <w:rPr>
          <w:rFonts w:ascii="Malgun Gothic" w:hAnsi="Malgun Gothic" w:eastAsia="Malgun Gothic"/>
          <w:b w:val="0"/>
          <w:color w:val="232323"/>
          <w:sz w:val="21"/>
        </w:rPr>
        <w:t>Ⅳ. 신뢰도와 타당도의 비교 및 관계 ················· 4</w:t>
      </w:r>
    </w:p>
    <w:p>
      <w:pPr>
        <w:spacing w:after="80"/>
        <w:ind w:left="1152" w:right="1152"/>
      </w:pPr>
      <w:r>
        <w:rPr>
          <w:rFonts w:ascii="Malgun Gothic" w:hAnsi="Malgun Gothic" w:eastAsia="Malgun Gothic"/>
          <w:b w:val="0"/>
          <w:color w:val="232323"/>
          <w:sz w:val="21"/>
        </w:rPr>
        <w:t>Ⅴ. 사회복지조사에서의 확보 방안 ··················· 4</w:t>
      </w:r>
    </w:p>
    <w:p>
      <w:pPr>
        <w:spacing w:after="80"/>
        <w:ind w:left="1152" w:right="1152"/>
      </w:pPr>
      <w:r>
        <w:rPr>
          <w:rFonts w:ascii="Malgun Gothic" w:hAnsi="Malgun Gothic" w:eastAsia="Malgun Gothic"/>
          <w:b w:val="0"/>
          <w:color w:val="232323"/>
          <w:sz w:val="21"/>
        </w:rPr>
        <w:t>Ⅵ. 결론 및 참고문헌 ······························· 5</w:t>
      </w:r>
    </w:p>
    <w:p>
      <w:r>
        <w:br w:type="page"/>
      </w:r>
    </w:p>
    <w:p>
      <w:pPr>
        <w:pStyle w:val="Heading1"/>
      </w:pPr>
      <w:r>
        <w:t>Ⅰ. 서론</w:t>
      </w:r>
    </w:p>
    <w:p>
      <w:pPr>
        <w:ind w:firstLine="403"/>
      </w:pPr>
      <w:r>
        <w:rPr>
          <w:rFonts w:ascii="Malgun Gothic" w:hAnsi="Malgun Gothic" w:eastAsia="Malgun Gothic"/>
          <w:b w:val="0"/>
          <w:color w:val="232323"/>
          <w:sz w:val="21"/>
        </w:rPr>
        <w:t>사회복지조사는 개인과 집단의 욕구를 파악하고 프로그램의 효과를 평가하며 정책의 근거를 마련하는 과정이다. 그러나 측정도구가 동일한 대상을 측정할 때마다 크게 다른 결과를 내거나, 연구자가 의도한 개념과 다른 속성을 측정한다면 조사 결과를 실천과 정책에 활용하기 어렵다. 이때 측정의 질을 판단하는 핵심 기준이 신뢰도와 타당도이다.</w:t>
      </w:r>
    </w:p>
    <w:p>
      <w:pPr>
        <w:ind w:firstLine="403"/>
      </w:pPr>
      <w:r>
        <w:rPr>
          <w:rFonts w:ascii="Malgun Gothic" w:hAnsi="Malgun Gothic" w:eastAsia="Malgun Gothic"/>
          <w:b w:val="0"/>
          <w:color w:val="232323"/>
          <w:sz w:val="21"/>
        </w:rPr>
        <w:t>신뢰도는 측정값의 일관성과 안정성에 관한 개념이고, 타당도는 측정도구가 측정하고자 하는 개념을 얼마나 정확하게 반영하는지에 관한 개념이다. 두 기준은 서로 관련되어 있으나 동일하지 않으며, 하나가 확보되었다고 다른 하나가 자동으로 보장되는 것도 아니다. 본 보고서는 신뢰도와 타당도의 개념과 유형을 정리하고, 두 개념의 차이와 관계를 사회복지조사의 사례를 통해 비교한 후 측정의 질을 높이기 위한 방안을 제시한다.</w:t>
      </w:r>
    </w:p>
    <w:p>
      <w:pPr>
        <w:pStyle w:val="Heading1"/>
      </w:pPr>
      <w:r>
        <w:t>Ⅱ. 본론: 신뢰도의 개념과 유형</w:t>
      </w:r>
    </w:p>
    <w:p>
      <w:pPr>
        <w:pStyle w:val="Heading2"/>
      </w:pPr>
      <w:r>
        <w:t>1. 신뢰도의 의미</w:t>
      </w:r>
    </w:p>
    <w:p>
      <w:pPr>
        <w:ind w:firstLine="403"/>
      </w:pPr>
      <w:r>
        <w:rPr>
          <w:rFonts w:ascii="Malgun Gothic" w:hAnsi="Malgun Gothic" w:eastAsia="Malgun Gothic"/>
          <w:b w:val="0"/>
          <w:color w:val="232323"/>
          <w:sz w:val="21"/>
        </w:rPr>
        <w:t>신뢰도(reliability)는 같은 현상을 동일하거나 유사한 조건에서 반복하여 측정했을 때 일관된 결과가 나타나는 정도를 의미한다. 관찰된 점수는 측정하려는 실제 속성과 측정오차의 결합으로 이해할 수 있으므로, 오차가 작을수록 신뢰도는 높아진다. 사회복지조사에서는 응답자의 일시적 기분, 조사 환경, 문항의 모호성, 조사자의 태도 등이 우연오차를 발생시킬 수 있다.</w:t>
      </w:r>
    </w:p>
    <w:p>
      <w:pPr>
        <w:pStyle w:val="Heading2"/>
      </w:pPr>
      <w:r>
        <w:t>2. 검사-재검사 신뢰도</w:t>
      </w:r>
    </w:p>
    <w:p>
      <w:pPr>
        <w:ind w:firstLine="403"/>
      </w:pPr>
      <w:r>
        <w:rPr>
          <w:rFonts w:ascii="Malgun Gothic" w:hAnsi="Malgun Gothic" w:eastAsia="Malgun Gothic"/>
          <w:b w:val="0"/>
          <w:color w:val="232323"/>
          <w:sz w:val="21"/>
        </w:rPr>
        <w:t>검사-재검사 신뢰도는 동일한 측정도구를 같은 대상에게 일정한 시간 간격을 두고 두 차례 실시한 뒤 두 점수의 상관관계를 확인하는 방법이다. 생활만족도와 같이 비교적 안정적인 속성을 측정할 때 유용하다. 다만 간격이 너무 짧으면 첫 응답을 기억하는 효과가 생기고, 너무 길면 실제 속성이 변화하여 신뢰도가 낮게 추정될 수 있다.</w:t>
      </w:r>
    </w:p>
    <w:p>
      <w:pPr>
        <w:pStyle w:val="Heading2"/>
      </w:pPr>
      <w:r>
        <w:t>3. 동형검사·반분·내적 일관성 신뢰도</w:t>
      </w:r>
    </w:p>
    <w:p>
      <w:pPr>
        <w:ind w:firstLine="403"/>
      </w:pPr>
      <w:r>
        <w:rPr>
          <w:rFonts w:ascii="Malgun Gothic" w:hAnsi="Malgun Gothic" w:eastAsia="Malgun Gothic"/>
          <w:b w:val="0"/>
          <w:color w:val="232323"/>
          <w:sz w:val="21"/>
        </w:rPr>
        <w:t>동형검사 신뢰도는 내용과 난이도가 동등한 두 도구를 제작하여 결과의 일치 정도를 확인한다. 반분신뢰도는 한 척도의 문항을 두 집단으로 나누어 점수 간 상관을 살피며, 내적 일관성은 여러 문항이 동일한 개념을 일관되게 측정하는지 평가한다. 내적 일관성의 대표적 지표인 Cronbach의 알파는 다문항 척도에서 널리 사용되지만, 값이 높다는 이유만으로 척도가 단일 차원이라고 단정할 수는 없다.</w:t>
      </w:r>
    </w:p>
    <w:p>
      <w:pPr>
        <w:pStyle w:val="Heading2"/>
      </w:pPr>
      <w:r>
        <w:t>4. 관찰자 간 신뢰도</w:t>
      </w:r>
    </w:p>
    <w:p>
      <w:pPr>
        <w:ind w:firstLine="403"/>
      </w:pPr>
      <w:r>
        <w:rPr>
          <w:rFonts w:ascii="Malgun Gothic" w:hAnsi="Malgun Gothic" w:eastAsia="Malgun Gothic"/>
          <w:b w:val="0"/>
          <w:color w:val="232323"/>
          <w:sz w:val="21"/>
        </w:rPr>
        <w:t>관찰자 간 신뢰도는 두 명 이상의 관찰자나 코더가 동일한 행동이나 자료를 분류했을 때 판단이 일치하는 정도이다. 아동의 공격행동을 관찰하는 연구라면 행동의 시작과 종료, 언어적·신체적 공격의 기준을 명확히 정의하고 관찰자 훈련을 실시해야 한다. 단순 일치율 외에도 우연한 일치를 보정하는 Cohen의 카파 등을 사용할 수 있다.</w:t>
      </w:r>
    </w:p>
    <w:p>
      <w:r>
        <w:br w:type="page"/>
      </w:r>
    </w:p>
    <w:p>
      <w:pPr>
        <w:pStyle w:val="Heading1"/>
      </w:pPr>
      <w:r>
        <w:t>Ⅲ. 타당도의 개념과 유형</w:t>
      </w:r>
    </w:p>
    <w:p>
      <w:pPr>
        <w:pStyle w:val="Heading2"/>
      </w:pPr>
      <w:r>
        <w:t>1. 타당도의 의미</w:t>
      </w:r>
    </w:p>
    <w:p>
      <w:pPr>
        <w:ind w:firstLine="403"/>
      </w:pPr>
      <w:r>
        <w:rPr>
          <w:rFonts w:ascii="Malgun Gothic" w:hAnsi="Malgun Gothic" w:eastAsia="Malgun Gothic"/>
          <w:b w:val="0"/>
          <w:color w:val="232323"/>
          <w:sz w:val="21"/>
        </w:rPr>
        <w:t>타당도(validity)는 측정도구가 연구자가 의도한 개념을 적절하고 정확하게 측정하는 정도이다. 예를 들어 노인의 사회적 고립을 측정하면서 단순히 동거가족 수만 질문한다면, 가족과 함께 살아도 관계가 단절된 경우나 혼자 살아도 지역사회 관계가 활발한 경우를 설명하기 어렵다. 따라서 개념의 이론적 의미를 분명히 하고 이를 대표하는 지표를 구성해야 한다.</w:t>
      </w:r>
    </w:p>
    <w:p>
      <w:pPr>
        <w:pStyle w:val="Heading2"/>
      </w:pPr>
      <w:r>
        <w:t>2. 내용타당도와 안면타당도</w:t>
      </w:r>
    </w:p>
    <w:p>
      <w:pPr>
        <w:ind w:firstLine="403"/>
      </w:pPr>
      <w:r>
        <w:rPr>
          <w:rFonts w:ascii="Malgun Gothic" w:hAnsi="Malgun Gothic" w:eastAsia="Malgun Gothic"/>
          <w:b w:val="0"/>
          <w:color w:val="232323"/>
          <w:sz w:val="21"/>
        </w:rPr>
        <w:t>내용타당도는 측정문항이 개념의 전체 영역을 충분히 대표하는지를 판단한다. 사회복지사의 직무소진을 측정한다면 정서적 고갈뿐 아니라 비인격화와 개인적 성취감 저하 등 주요 차원을 포함해야 한다. 주로 문헌검토와 전문가 판단을 활용한다. 안면타당도는 문항이 표면적으로 보기에 해당 개념을 측정하는 것처럼 보이는지를 확인하는 가장 기초적인 기준이며, 응답자의 이해 가능성을 점검하는 데 도움이 된다.</w:t>
      </w:r>
    </w:p>
    <w:p>
      <w:pPr>
        <w:pStyle w:val="Heading2"/>
      </w:pPr>
      <w:r>
        <w:t>3. 기준타당도</w:t>
      </w:r>
    </w:p>
    <w:p>
      <w:pPr>
        <w:ind w:firstLine="403"/>
      </w:pPr>
      <w:r>
        <w:rPr>
          <w:rFonts w:ascii="Malgun Gothic" w:hAnsi="Malgun Gothic" w:eastAsia="Malgun Gothic"/>
          <w:b w:val="0"/>
          <w:color w:val="232323"/>
          <w:sz w:val="21"/>
        </w:rPr>
        <w:t>기준타당도는 측정값이 외부의 객관적 기준과 얼마나 관련되는지 평가한다. 동시타당도는 새로 개발한 우울척도의 점수를 이미 검증된 척도나 임상평가와 같은 시점에 비교하는 방식이다. 예측타당도는 현재의 측정값이 향후 행동이나 결과를 얼마나 잘 예측하는지 살핀다. 예컨대 서비스 중도탈락 위험척도가 실제 중도탈락을 예측하는 정도가 이에 해당한다.</w:t>
      </w:r>
    </w:p>
    <w:p>
      <w:pPr>
        <w:pStyle w:val="Heading2"/>
      </w:pPr>
      <w:r>
        <w:t>4. 구성타당도</w:t>
      </w:r>
    </w:p>
    <w:p>
      <w:pPr>
        <w:ind w:firstLine="403"/>
      </w:pPr>
      <w:r>
        <w:rPr>
          <w:rFonts w:ascii="Malgun Gothic" w:hAnsi="Malgun Gothic" w:eastAsia="Malgun Gothic"/>
          <w:b w:val="0"/>
          <w:color w:val="232323"/>
          <w:sz w:val="21"/>
        </w:rPr>
        <w:t>구성타당도는 추상적 이론 개념이 측정도구를 통해 적절히 구현되었는지 여러 증거를 종합하여 판단한다. 수렴타당도는 같은 개념을 측정하는 다른 도구와 높은 관련성을 보이는지, 판별타당도는 이론적으로 다른 개념과 구별되는지를 확인한다. 요인분석, 가설에 부합하는 집단 간 차이, 관련 변수와의 상관관계 등을 통해 검토할 수 있다. 구성타당도는 한 번의 통계분석으로 완결되기보다 반복 연구를 통해 축적되는 성격을 가진다.</w:t>
      </w:r>
    </w:p>
    <w:p>
      <w:r>
        <w:br w:type="page"/>
      </w:r>
    </w:p>
    <w:p>
      <w:pPr>
        <w:pStyle w:val="Heading1"/>
      </w:pPr>
      <w:r>
        <w:t>Ⅳ. 신뢰도와 타당도의 비교 및 관계</w:t>
      </w:r>
    </w:p>
    <w:p>
      <w:pPr>
        <w:pStyle w:val="Heading2"/>
      </w:pPr>
      <w:r>
        <w:t>1. 공통점과 차이점</w:t>
      </w:r>
    </w:p>
    <w:p>
      <w:pPr>
        <w:ind w:firstLine="403"/>
      </w:pPr>
      <w:r>
        <w:rPr>
          <w:rFonts w:ascii="Malgun Gothic" w:hAnsi="Malgun Gothic" w:eastAsia="Malgun Gothic"/>
          <w:b w:val="0"/>
          <w:color w:val="232323"/>
          <w:sz w:val="21"/>
        </w:rPr>
        <w:t>신뢰도와 타당도는 모두 측정도구의 품질과 연구결과의 해석 가능성을 평가한다는 공통점이 있다. 그러나 신뢰도는 반복 측정 결과의 일관성, 즉 정밀성에 초점을 두는 반면 타당도는 의도한 개념과 실제 측정값의 일치, 즉 정확성에 초점을 둔다. 신뢰도는 상관계수, 알파계수, 일치도 등으로 비교적 수량화하기 쉽지만, 타당도는 문헌·전문가 판단·통계적 관계·실제 결과 등 여러 근거를 종합해야 한다.</w:t>
      </w:r>
    </w:p>
    <w:p>
      <w:pPr>
        <w:pStyle w:val="Heading2"/>
      </w:pPr>
      <w:r>
        <w:t>2. 필요조건으로서의 신뢰도</w:t>
      </w:r>
    </w:p>
    <w:p>
      <w:pPr>
        <w:ind w:firstLine="403"/>
      </w:pPr>
      <w:r>
        <w:rPr>
          <w:rFonts w:ascii="Malgun Gothic" w:hAnsi="Malgun Gothic" w:eastAsia="Malgun Gothic"/>
          <w:b w:val="0"/>
          <w:color w:val="232323"/>
          <w:sz w:val="21"/>
        </w:rPr>
        <w:t>일반적으로 신뢰도는 타당도의 필요조건이지만 충분조건은 아니다. 결과가 불규칙하게 흔들리는 도구는 의도한 개념을 정확히 측정하기 어렵다. 반대로 매번 동일하게 잘못 측정하는 도구는 높은 신뢰도를 보이면서도 타당도는 낮을 수 있다. 체중계가 실제보다 항상 5kg 높게 표시된다면 측정값은 일관되지만 정확하지 않은 것과 같다. 사회복지조사에서도 경제적 빈곤을 월소득 하나로만 반복 측정하면 일관성은 높을 수 있으나 자산, 부채, 가구 규모를 반영하지 못해 개념타당도가 제한될 수 있다.</w:t>
      </w:r>
    </w:p>
    <w:p>
      <w:pPr>
        <w:pStyle w:val="Heading2"/>
      </w:pPr>
      <w:r>
        <w:t>3. 신뢰도와 타당도의 상충 가능성</w:t>
      </w:r>
    </w:p>
    <w:p>
      <w:pPr>
        <w:ind w:firstLine="403"/>
      </w:pPr>
      <w:r>
        <w:rPr>
          <w:rFonts w:ascii="Malgun Gothic" w:hAnsi="Malgun Gothic" w:eastAsia="Malgun Gothic"/>
          <w:b w:val="0"/>
          <w:color w:val="232323"/>
          <w:sz w:val="21"/>
        </w:rPr>
        <w:t>문항을 지나치게 유사하게 반복하면 내적 일관성은 높아질 수 있으나 개념의 범위가 좁아져 내용타당도가 저하될 수 있다. 또한 표준화된 문항은 비교 가능성을 높이지만 문화와 상황에 따라 중요한 경험을 누락할 수 있다. 따라서 연구자는 단일 계수를 최대화하기보다 연구목적과 대상자의 특성에 맞추어 측정의 일관성과 개념 대표성을 균형 있게 확보해야 한다.</w:t>
      </w:r>
    </w:p>
    <w:p>
      <w:pPr>
        <w:pStyle w:val="Heading1"/>
      </w:pPr>
      <w:r>
        <w:t>Ⅴ. 사회복지조사에서의 확보 방안</w:t>
      </w:r>
    </w:p>
    <w:p>
      <w:pPr>
        <w:ind w:firstLine="403"/>
      </w:pPr>
      <w:r>
        <w:rPr>
          <w:rFonts w:ascii="Malgun Gothic" w:hAnsi="Malgun Gothic" w:eastAsia="Malgun Gothic"/>
          <w:b w:val="0"/>
          <w:color w:val="232323"/>
          <w:sz w:val="21"/>
        </w:rPr>
        <w:t>첫째, 개념적 정의와 조작적 정의를 명료하게 하고 기존 이론 및 선행연구를 검토해야 한다. 둘째, 검증된 척도를 활용하되 연구대상자의 연령, 언어, 문화적 맥락에 맞는지 확인해야 한다. 번역척도는 번역과 역번역, 전문가 검토를 거치는 것이 바람직하다. 셋째, 예비조사를 통해 이해하기 어려운 표현, 이중질문, 유도문항을 수정하고 응답 소요시간과 문항 배열 효과를 확인해야 한다.</w:t>
      </w:r>
    </w:p>
    <w:p>
      <w:pPr>
        <w:ind w:firstLine="403"/>
      </w:pPr>
      <w:r>
        <w:rPr>
          <w:rFonts w:ascii="Malgun Gothic" w:hAnsi="Malgun Gothic" w:eastAsia="Malgun Gothic"/>
          <w:b w:val="0"/>
          <w:color w:val="232323"/>
          <w:sz w:val="21"/>
        </w:rPr>
        <w:t>넷째, 조사자와 관찰자에게 동일한 지침과 충분한 훈련을 제공하고 조사환경을 가능한 한 표준화해야 한다. 다섯째, 하나의 지표에 의존하지 않고 설문, 면접, 행정자료, 관찰 등을 결합하는 자료 삼각검증을 활용할 수 있다. 여섯째, 표본 자료에서 신뢰도와 요인구조를 분석하고 필요할 경우 집단별 측정동일성을 검토해야 한다. 마지막으로 척도 수정 과정과 제외 문항, 산출 방법을 투명하게 보고하여 다른 연구자가 결과를 재검토할 수 있도록 해야 한다.</w:t>
      </w:r>
    </w:p>
    <w:p>
      <w:r>
        <w:br w:type="page"/>
      </w:r>
    </w:p>
    <w:p>
      <w:pPr>
        <w:pStyle w:val="Heading1"/>
      </w:pPr>
      <w:r>
        <w:t>Ⅵ. 결론</w:t>
      </w:r>
    </w:p>
    <w:p>
      <w:pPr>
        <w:ind w:firstLine="403"/>
      </w:pPr>
      <w:r>
        <w:rPr>
          <w:rFonts w:ascii="Malgun Gothic" w:hAnsi="Malgun Gothic" w:eastAsia="Malgun Gothic"/>
          <w:b w:val="0"/>
          <w:color w:val="232323"/>
          <w:sz w:val="21"/>
        </w:rPr>
        <w:t>신뢰도는 측정의 일관성과 안정성을, 타당도는 의도한 개념을 정확히 측정하는 정도를 의미한다. 검사-재검사, 내적 일관성, 관찰자 간 신뢰도 등은 오차의 원인에 따라 서로 다른 측면을 평가하며, 내용·기준·구성타당도 역시 서로 보완적인 증거를 제공한다. 높은 신뢰도는 타당한 측정을 위한 중요한 기반이지만, 일관된 측정만으로 개념의 정확성이 보장되지는 않는다.</w:t>
      </w:r>
    </w:p>
    <w:p>
      <w:pPr>
        <w:ind w:firstLine="403"/>
      </w:pPr>
      <w:r>
        <w:rPr>
          <w:rFonts w:ascii="Malgun Gothic" w:hAnsi="Malgun Gothic" w:eastAsia="Malgun Gothic"/>
          <w:b w:val="0"/>
          <w:color w:val="232323"/>
          <w:sz w:val="21"/>
        </w:rPr>
        <w:t>사회복지조사의 결과는 취약한 상황에 놓인 사람들의 서비스와 정책 결정에 영향을 줄 수 있다. 그러므로 측정도구의 품질은 단순한 통계적 문제가 아니라 실천의 책임성과 연결된다. 연구자는 이론적 검토, 예비조사, 표준화, 다양한 타당화 증거와 반복 검증을 통해 신뢰도와 타당도를 함께 확보해야 하며, 측정의 한계를 정직하게 보고해야 한다.</w:t>
      </w:r>
    </w:p>
    <w:p>
      <w:pPr>
        <w:pStyle w:val="Heading1"/>
      </w:pPr>
      <w:r>
        <w:t>참고문헌</w:t>
      </w:r>
    </w:p>
    <w:p>
      <w:pPr>
        <w:spacing w:line="324" w:lineRule="auto" w:after="100"/>
        <w:ind w:left="360"/>
      </w:pPr>
      <w:r>
        <w:rPr>
          <w:rFonts w:ascii="Malgun Gothic" w:hAnsi="Malgun Gothic" w:eastAsia="Malgun Gothic"/>
          <w:b w:val="0"/>
          <w:color w:val="232323"/>
          <w:sz w:val="19"/>
        </w:rPr>
        <w:t>김영종. (2023). 『사회복지조사론』. 학지사.</w:t>
      </w:r>
    </w:p>
    <w:p>
      <w:pPr>
        <w:spacing w:line="324" w:lineRule="auto" w:after="100"/>
        <w:ind w:left="360"/>
      </w:pPr>
      <w:r>
        <w:rPr>
          <w:rFonts w:ascii="Malgun Gothic" w:hAnsi="Malgun Gothic" w:eastAsia="Malgun Gothic"/>
          <w:b w:val="0"/>
          <w:color w:val="232323"/>
          <w:sz w:val="19"/>
        </w:rPr>
        <w:t>남세진·조흥식. (2020). 『사회복지조사방법론』. 서울대학교출판문화원.</w:t>
      </w:r>
    </w:p>
    <w:p>
      <w:pPr>
        <w:spacing w:line="324" w:lineRule="auto" w:after="100"/>
        <w:ind w:left="360"/>
      </w:pPr>
      <w:r>
        <w:rPr>
          <w:rFonts w:ascii="Malgun Gothic" w:hAnsi="Malgun Gothic" w:eastAsia="Malgun Gothic"/>
          <w:b w:val="0"/>
          <w:color w:val="232323"/>
          <w:sz w:val="19"/>
        </w:rPr>
        <w:t>DeVellis, R. F., &amp; Thorpe, C. T. (2021). Scale development: Theory and applications (5th ed.). Sage.</w:t>
      </w:r>
    </w:p>
    <w:p>
      <w:pPr>
        <w:spacing w:line="324" w:lineRule="auto" w:after="100"/>
        <w:ind w:left="360"/>
      </w:pPr>
      <w:r>
        <w:rPr>
          <w:rFonts w:ascii="Malgun Gothic" w:hAnsi="Malgun Gothic" w:eastAsia="Malgun Gothic"/>
          <w:b w:val="0"/>
          <w:color w:val="232323"/>
          <w:sz w:val="19"/>
        </w:rPr>
        <w:t>Nunnally, J. C., &amp; Bernstein, I. H. (1994). Psychometric theory (3rd ed.). McGraw-Hill.</w:t>
      </w:r>
    </w:p>
    <w:p>
      <w:pPr>
        <w:spacing w:line="324" w:lineRule="auto" w:after="100"/>
        <w:ind w:left="360"/>
      </w:pPr>
      <w:r>
        <w:rPr>
          <w:rFonts w:ascii="Malgun Gothic" w:hAnsi="Malgun Gothic" w:eastAsia="Malgun Gothic"/>
          <w:b w:val="0"/>
          <w:color w:val="232323"/>
          <w:sz w:val="19"/>
        </w:rPr>
        <w:t>Rubin, A., &amp; Babbie, E. R. (2017). Research methods for social work (9th ed.). Cengage Learning.</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